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120</w:t>
      </w:r>
    </w:p>
    <w:p>
      <w:r>
        <w:t>Bundesgericht (BGE), 2018-01-01, DE</w:t>
      </w:r>
    </w:p>
    <w:p>
      <w:r>
        <w:rPr>
          <w:b/>
        </w:rPr>
        <w:t xml:space="preserve">Quelle: </w:t>
      </w:r>
      <w:r>
        <w:t>https://mcp.opencaselaw.ch/entscheid/bge_BGE_144_V_120</w:t>
      </w:r>
    </w:p>
    <w:p>
      <w:r>
        <w:t>FR: ATF 144 V 120</w:t>
      </w:r>
    </w:p>
    <w:p>
      <w:r>
        <w:t>IT: DTF 144 V 120</w:t>
      </w:r>
    </w:p>
    <w:p>
      <w:pPr>
        <w:pStyle w:val="Heading2"/>
      </w:pPr>
      <w:r>
        <w:t>Regeste</w:t>
      </w:r>
    </w:p>
    <w:p>
      <w:r>
        <w:t>Regeste a Art. 53d Abs. 1 BVG; Art. 27h Abs. 1 BVV 2; Teilliquidation einer Vorsorgeeinrichtung; Anspruch des Abgangsbestands auf Teilung von Reserven und Rückstellungen. Werden bei einer Teilliquidation versicherungstechnische Risiken übertragen, sind die entsprechenden Rückstellungen nicht aufzulösen (und den übrigen Mitteln zuzuschlagen), sondern dem Abgangsbestand mitzugeben, soweit sie auch für diesen gebildet wurden. Es ist unerheblich, dass sich die durch die Rückstellungen abgedeckten Risiken bei der abgebenden Vorsorgeeinrichtung nicht mehr verwirklichen können. Bestätigung der Rechtsprechung von BGE 140 V 121 (E. 2).</w:t>
      </w:r>
    </w:p>
    <w:p>
      <w:r>
        <w:t>Regeste b Art. 53d Abs. 6 BVG; Verfahren bei Teilliquidation. Bei einem kollektiven Übertritt von Versicherten kann die übernehmende Vorsorgeeinrichtung die Voraussetzungen, das Verfahren und den Verteilungsplan einer Teilliquidation der abgebenden Vorsorgeeinrichtung bei der zuständigen Aufsichtsbehörde überprüfen und entscheiden lassen (E. 4).</w:t>
      </w:r>
    </w:p>
    <w:p>
      <w:r>
        <w:t>Regeste a Art. 53d al. 1 LPP; art. 27h al. 1 OPP 2; liquidation partielle d'une institution de prévoyance; droit des membres du collectif sortant au partage des réserves et des provisions. Lorsque des risques actuariels sont cédés dans le cadre d'une liquidation partielle, les provisions correspondantes ne doivent pas être dissoutes (et attribuées aux fonds restants), mais allouées aux membres du collectif sortant pour autant qu'elles aient été constituées en leur faveur. Il importe peu que les risques couverts par les provisions ne puissent plus se réaliser pour l'institution de prévoyance cédante. Confirmation de la jurisprudence publiée aux ATF 140 V 121 (consid. 2).</w:t>
      </w:r>
    </w:p>
    <w:p>
      <w:r>
        <w:t>Regeste b Art. 53d al. 6 LPP; procédure en cas de liquidation partielle. Lors d'un transfert collectif d'assurés, l'institution de prévoyance reprenante peut faire vérifier par l'autorité de surveillance compétente les conditions, la procédure et le plan de répartition d'une liquidation partielle de l'institution de prévoyance transférante et lui demander de rendre une décision (consid. 4).</w:t>
      </w:r>
    </w:p>
    <w:p>
      <w:r>
        <w:t>Regesto a Art. 53d cpv. 1 LPP; art. 27h cpv. 1 OPP 2; liquidazione parziale di un istituto di previdenza; diritto del personale uscente alla ripartizione delle riserve e degli accantonamenti. Nel caso in cui i rischi attuariali siano trasferiti nell'ambito di una liquidazione parziale, gli accantonamenti corrispondenti non devono essere sciolti (e attribuiti ai fondi rimanenti), ma distribuiti in favore del personale uscente a condizione che siano stati costituiti in loro favore. È irrilevante che i rischi coperti dagli accantonamenti non possano più realizzarsi presso l'istituto di previdenza cedente. Conferma della giurisprudenza pubblicata in DTF 140 V 121 (consid. 2).</w:t>
      </w:r>
    </w:p>
    <w:p>
      <w:r>
        <w:t>Regesto b Art. 53d cpv. 6 LPP; procedura in caso di liquidazione parziale. Nell'ambito di un trasferimento collettivo d'assicurati, l'istituto di previdenza acquirente può fare verificare e decidere dall'autorità di vigilanza competente i presupposti, la procedura e il piano di ripartizione di una liquidazione parziale dell'istituto di previdenza cedente (consid. 4).</w:t>
      </w:r>
    </w:p>
    <w:p>
      <w:pPr>
        <w:pStyle w:val="Heading2"/>
      </w:pPr>
      <w:r>
        <w:t>Erwägungen</w:t>
      </w:r>
    </w:p>
    <w:p>
      <w:r>
        <w:rPr>
          <w:b/>
        </w:rPr>
        <w:t>E. 1.1</w:t>
      </w:r>
    </w:p>
    <w:p>
      <w:r>
        <w:t>Aus der Beschwerdebegründung, welche für die Auslegung der Rechtsbegehren heranzuziehen ist, ergibt sich, dass der Anspruch der aktiven Versicherten, die per 1. Januar 2012 kollektiv aus der Pensionskasse A. ausgetreten sind, auf folgende Rückstellungen streitig ist: für die Finanzierung der Besitzstände, für Pensionierungsverluste und für den nicht finanzierten Teil der Risikoprämie.</w:t>
      </w:r>
    </w:p>
    <w:p>
      <w:r>
        <w:rPr>
          <w:b/>
        </w:rPr>
        <w:t>E. 1.2.1</w:t>
      </w:r>
    </w:p>
    <w:p>
      <w:r>
        <w:t>Gemäss Art. 53d Abs. 1 BVG muss die Teil- und Gesamtliquidation der Vorsorgeeinrichtung unter Berücksichtigung des Gleichbehandlungsgrundsatzes und nach fachlich anerkannten Grundsätzen durchgeführt werden. Der Bundesrat bezeichnet diese Grundsätze.</w:t>
      </w:r>
    </w:p>
    <w:p>
      <w:r>
        <w:rPr>
          <w:b/>
        </w:rPr>
        <w:t>E. 1.2.2</w:t>
      </w:r>
    </w:p>
    <w:p>
      <w:r>
        <w:t>Treten mehrere Versicherte gemeinsam in eine andere Vorsorgeeinrichtung über (kollektiver Austritt), so besteht zusätzlich zum BGE 144 V 120 S. 123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1.2.3</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 BGE 140 V 121 E. 4.4 S. 127).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(a.a.O., E. 4.3 in fine S. 126 f.).</w:t>
      </w:r>
    </w:p>
    <w:p>
      <w:r>
        <w:rPr>
          <w:b/>
        </w:rPr>
        <w:t>E. 2.1</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S. 69 Rz. 211; vgl. auch Fachrichtlinie 2 der Schweizerischen Kammer der Pensionskassen-Experten [FRP 2], Fassung 2014, S. 2 Ziff. 1 Abs. 3). Die Vorinstanz hat für das Bundesgericht verbindlich festgestellt (vgl. Art. 97 Abs. 1 bzw. Art. 105 Abs. 1 und 2 BGG ), dass in concreto ausschliesslich bestehende technische Rückstellungen im Streit liegen; es geht weder um deren Erhöhung noch um die Bildung neuer BGE 144 V 120 S. 124 Rückstellungen. BGE 140 V 121 ist dabei klar: Soweit der Abgangsbestand vom Zweck der fraglichen Rückstellung miterfasst ist, hat er anteilsmässigen Anspruch darauf. Diesen davon abhängig zu machen, ob sich "das Risiko aufgrund seiner Definition und der Austritte gar nicht mehr verwirklichen kann" und eine entsprechende Rückstellung daher im Umfang des austretenden Kapitals aufzulösen und den übrigen Mitteln zuzuschlagen ist, wie die Beschwerdeführerin unter Hinweis auf die Ziff. 1 Abs. 6 der Fachrichtlinie 3 der Schweizerischen Kammer der Pensionskassen-Experten (FRP 3, Stand 29. November 2011) meint, greift im Zusammenhang mit Art. 27h Abs. 1 BVV 2 zu kurz.</w:t>
      </w:r>
    </w:p>
    <w:p>
      <w:r>
        <w:rPr>
          <w:b/>
        </w:rPr>
        <w:t>E. 2.2</w:t>
      </w:r>
    </w:p>
    <w:p>
      <w:r>
        <w:t>Bei technischen Rückstellungen handelt es sich nicht um kaufmännische Rückstellungen wie beispielsweise für ein laufendes Gerichtsverfahren, die nach dem gewonnenen Prozess resp. infolge des sich nicht verwirklichten (Prozess-)Risikos zwingend wieder aufzulösen sind. Technische Rückstellungen haben künftige Leistungspflichten zur Grundlage und dienen der - vertikalen (masslichen) oder horizontalen (zeitlichen) - Absicherung der Leistungsversprechen im Vorsorgefall (vgl. E. 2.1 vorne). Mit anderen Worten ist zwischen den berufsvorsorgerechtlichen Risiken (Alter, Invalidität, Tod [ Art. 67 BVG i.V.m. Art. 42 BVV 2 ]), die zu verschiedenen Versichertengruppen führen (Aktive sowie [Alters-, Invaliden- und Hinterbliebenen-]Rentenbezüger), und den versicherungstechnischen Risiken (u.a. technischer Zinsfuss, Annahmen über den Verlauf von Sterblichkeit und Invalidität), die rein rechnerischer Natur sind, zu differenzieren. Sie spielen jedoch insoweit zusammen, als Letztere bezogen auf Erstere resp. bezogen auf die damit verbundenen Ansprüche und Finanzierungsrisiken gebildet werden (vgl. FRP 2 S. 3 f. Ziff. 5). Dabei ist einem (kollektiven) Austritt resp. dem Abgangsbestand immanent, dass sich seine versicherungstechnischen Risiken nicht mehr bei der abgebenden Vorsorgeeinrichtung verwirklichen können. Wie aus BGE 140 V 121 unmissverständlich erhellt, werden die entsprechenden Rückstellungen deswegen nicht automatisch "obsolet". Wurden die versicherungstechnischen Rückstellungen auch für den Abgangsbestand gebildet, oder anders gesagt, sind Fort- und Abgangsbestand gleichermassen von ihrem Bestimmungszweck erfasst, sind sie anteilsmässig mitzugeben (vgl. E. 1.2.3 vorne). Wäre der Teil der technischen Rückstellungen, der für den Abgangsbestand bestimmt ist, aufzulösen, würde der Fortbestand besser gestellt, indem er an den frei gewordenen Mitteln mitpartizipiert. BGE 144 V 120 S. 125 Davon ist die Konstellation zu unterscheiden, dass die Versicherten- resp. Zielgruppe einer bestimmten technischen Rückstellung gar nicht im Abgangsbestand enthalten ist. Hat sich zum Beispiel das berufsvorsorgerechtliche Risiko der Invalidität im Zeitpunkt der Teilliquidation einzig im Fortbestand verwirklicht, liegt auf der Hand, dass diesbezügliche technische Risiken nicht übertragen werden und dafür gebildete Rückstellungen nicht aufzuteilen, sondern unter Umständen (ganz oder teilweise) aufzulösen sind (vgl. BGE 140 V 121 E. 5.4 S. 129). Anders als die Beschwerdeführerin glauben zu machen versucht, ist im hier streitigen Rahmen von Art. 27h BVV 2 daher (auch) nicht danach zu fragen, ob sich ein gewisses berufsvorsorgerechtliches Risiko bei der abgebenden Vorsorgeeinrichtung noch verwirklichen kann.</w:t>
      </w:r>
    </w:p>
    <w:p>
      <w:r>
        <w:rPr>
          <w:b/>
        </w:rPr>
        <w:t>E. 2.3</w:t>
      </w:r>
    </w:p>
    <w:p>
      <w:r>
        <w:t>Die Voraussetzungen einer Änderung der dargelegten Rechtsprechung (vgl. dazu BGE 142 V 87 E. 5.1 S. 91; BGE 133 V 37 E. 5.3.3 S. 39 mit Hinweisen), die wohl im Rahmen einer konkreten Fallbeurteilung, indessen unverkennbar in allgemeingültiger Weise erging, liegen nicht vor. Sie werden auch seitens der Beschwerdeführerin nicht geltend gemacht. Im Übrigen geht es vorliegend, nicht anders als in BGE 140 V 121 , ausschliesslich um den kollektiven Übertritt von Aktivversicherten. Gleichzeitig ist anzufügen, dass die Aufteilung der technischen Rückstellungen nicht im Sinne derjenigen der Wertschwankungsreserven - im Verhältnis zum abgehenden Spar- und Deckungskapital - stattfindet. Im Gegenteil besteht - wie in Art. 27h Abs. 1 BVV 2 stipuliert - nur insoweit Anspruch auf technische Rückstellungen, als auch technische Risiken übertragen werden (vgl. auch WILSON, a.a.O., S. 90 Rz. 283).</w:t>
      </w:r>
    </w:p>
    <w:p>
      <w:r>
        <w:rPr>
          <w:b/>
        </w:rPr>
        <w:t>E. 3</w:t>
      </w:r>
    </w:p>
    <w:p>
      <w:r>
        <w:t>Was die streitigen Rückstellungen für die Finanzierung der Besitzstände und für Pensionierungsverluste betrifft, so hat das Bundesverwaltungsgericht verbindlich (vgl. E. 2.1) festgestellt, dass beide Positionen für die Aktivversicherten - in Bezug auf die Besitzstände für diejenigen, die am 31. Dezember 2002 gemäss den damaligen Statuten versichert waren - mit Blick auf den Vorsorgefall Alter gebildet wurden. Soweit sich die Beschwerdeführerin gegen eine anteilsmässige Übertragung mit dem Einwand wehrt, dass hinsichtlich sämtlicher dieser Versicherten keine Pensionierungen bei ihr anfallen werden, kann sie nach dem Gesagten von vornherein nicht gehört werden. Gleiches gilt hinsichtlich der - für die Aktivversicherten - gebildeten Rückstellungen für den nicht finanzierten Teil der Risikoprämien: Das Argument der Beschwerdeführerin, dass im BGE 144 V 120 S. 126 Umfang des austretenden Kapitals keine Unterfinanzierung im Risikobetrag mehr bestehen könne und die fragliche Rückstellung folglich anteilsmässig aufzulösen sei, verfängt gemäss den vorangehenden Erwägungen nicht. Auf Weiterungen kann verzichtet werden, zumal es an einer (substanziierten) Auseinandersetzung mit den vorinstanzlichen Erwägungen, die übrigens überzeugen, fehlt (vgl. dazu BGE 134 I 313 E. 2 S. 315; BGE 133 II 249 E. 1.4.1 S. 254).</w:t>
      </w:r>
    </w:p>
    <w:p>
      <w:r>
        <w:rPr>
          <w:b/>
        </w:rPr>
        <w:t>E. 4</w:t>
      </w:r>
    </w:p>
    <w:p>
      <w:r>
        <w:t>Sodann rügt die Beschwerdeführerin eine Verletzung von Art. 64 Abs. 1 VwVG (SR 172.021) und Art. 9 Abs. 1 des Reglements vom 21. Februar 2008 über die Kosten und Entschädigungen vor dem Bundesverwaltungsgericht (VGKE; SR 173.320.2), indem die Vorinstanz den Beschwerdeführern 2-18 eine Parteientschädigung zugesprochen hat. Die in der Beschwerde wiedergegebene Praxis des Bundesverwaltungsgerichts, wonach insbesondere dann keine Entschädigung geschuldet ist, wenn der Vertreter eigene Interessen am Ausgang des Verfahrens hat ( BVGE 2011/19 E. 60 S. 411), lässt eine Parteientschädigung für die bereits im vorangegangenen Verfahren durch die Pensionskasse B. vertretenen Versicherten nicht zu. Zudem belegt die auch in eigenem Namen und Interesse (vgl. Pra 1998 Nr. 70 S. 435, 2A.185/1997 E. 3c; Urteil 2A.160/2004 vom 9. Juni 2005 E. 1.1, nicht publ. in: BGE 131 II 533 ; Urteil 2A.14/2006 vom 4. Mai 2006 E. 2.1; vgl. auch BGE 140 V 22 E. 4.2 S. 27) prozessierende Pensionskasse B. weder den behaupteten Aufwand an sich noch einen allfälligen Mehraufwand für die Vertretung. In diesem Punkt ist die Beschwerde begründet.</w:t>
      </w:r>
    </w:p>
    <w:p>
      <w:r>
        <w:rPr>
          <w:b/>
        </w:rPr>
        <w:t>E. 5</w:t>
      </w:r>
    </w:p>
    <w:p>
      <w:r>
        <w:t>Mit dem Urteil in der Sache wird das Gesuch um aufschiebende Wirkung der Beschwerde gegenstandslos.</w:t>
      </w:r>
    </w:p>
    <w:p>
      <w:r>
        <w:rPr>
          <w:b/>
        </w:rPr>
        <w:t>E. 6</w:t>
      </w:r>
    </w:p>
    <w:p>
      <w:r>
        <w:t>Die Gerichtskosten sind entsprechend dem Ausmass des Obsiegens und Unterliegens aufzuteilen, wobei die Beschwerdegegner untereinander solidarisch haften ( Art. 66 Abs. 1 und 5 BGG ). Die Vorsorgeeinrichtungen haben keinen Anspruch auf Parteientschädigung ( Art. 68 Abs. 3 BGG ). Gleiches gilt mangels ersichtlicher Kosten für die Beschwerdegegner 2-18 (vgl. E. 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