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49</w:t>
      </w:r>
    </w:p>
    <w:p>
      <w:r>
        <w:t>Bundesgericht (BGE), 2018-03-16, DE</w:t>
      </w:r>
    </w:p>
    <w:p>
      <w:r>
        <w:rPr>
          <w:b/>
        </w:rPr>
        <w:t xml:space="preserve">Quelle: </w:t>
      </w:r>
      <w:r>
        <w:t>https://mcp.opencaselaw.ch/entscheid/bge_BGE_144_IV_49</w:t>
      </w:r>
    </w:p>
    <w:p>
      <w:r>
        <w:t>FR: ATF 144 IV 49</w:t>
      </w:r>
    </w:p>
    <w:p>
      <w:r>
        <w:t>IT: DTF 144 IV 49</w:t>
      </w:r>
    </w:p>
    <w:p>
      <w:pPr>
        <w:pStyle w:val="Heading2"/>
      </w:pPr>
      <w:r>
        <w:t>Regeste</w:t>
      </w:r>
    </w:p>
    <w:p>
      <w:r>
        <w:t>Regeste Art. 30 Abs. 1 StGB, Art. 144 StGB, Art. 306 Abs. 3 OR; Strafantragsrecht des Entlehners wegen Sachbeschädigung. Bei nicht höchstpersönlichen Rechtsgütern ist neben dem Träger des angegriffenen Rechtsguts auch derjenige strafantragsberechtigt, in dessen Rechtskreis die Tat unmittelbar eingreift oder dem eine besondere Verantwortung für die Erhaltung des Gegenstandes obliegt (E. 1.2). Der Entlehner eines Fahrzeugs ist bei bestimmungsgemässem Gebrauch nur dann zum Strafantrag berechtigt, wenn er durch die Beschädigung in der Benutzung des ihm geliehenen Fahrzeugs beeinträchtigt wurde (E. 1.3).</w:t>
      </w:r>
    </w:p>
    <w:p>
      <w:r>
        <w:t>Regeste Art. 30 al. 1 CP, art. 144 CP, art. 306 al. 3 CO; droit de porter plainte de l'emprunteur pour dommages à la propriété. En matière de droits qui ne sont pas de nature strictement personnelle, outre le titulaire du bien juridique atteint, dispose également de la qualité pour porter plainte pénale celui qui est directement touché par l'acte dans la sphère de ses intérêts ou celui à qui incombe la responsabilité de conserver la chose (consid. 1.2). L'emprunteur d'un véhicule automobile ne peut porter plainte pénale, en cas d'utilisation conforme aux règles, que si le dommage l'a entravé dans l'usage du véhicule qui lui a été prêté (consid. 1.3).</w:t>
      </w:r>
    </w:p>
    <w:p>
      <w:r>
        <w:t>Regesto Art. 30 cpv. 1 CP, art. 144 CP, art. 306 cpv. 3 CO; diritto del comodatario di sporgere querela per danneggiamento. In caso di lesioni a beni giuridici che non sono strettamente personali, oltre al titolare del bene giuridico leso, è legittimato a sporgere querela anche chi è direttamente toccato nei propri diritti dal reato oppure ha una particolare responsabilità di conservare l'oggetto (consid. 1.2). Nell'ambito di un uso regolamentare, il comodatario di un veicolo è legittimato a sporgere querela unicamente ove il danneggiamento pregiudichi l'utilizzo del veicolo prestatogli (consid. 1.3).</w:t>
      </w:r>
    </w:p>
    <w:p>
      <w:pPr>
        <w:pStyle w:val="Heading2"/>
      </w:pPr>
      <w:r>
        <w:t>Erwägungen</w:t>
      </w:r>
    </w:p>
    <w:p>
      <w:r>
        <w:rPr>
          <w:b/>
        </w:rPr>
        <w:t>E. 1.1</w:t>
      </w:r>
    </w:p>
    <w:p>
      <w:r>
        <w:t>Der Beschwerdeführer rügt, es liege kein gültiger Strafantrag vor, zumal dieser nicht von der Eigentümerin (B.), sondern von der Lenkerin des Fahrzeugs (A.) gestellt worden sei. Die Vorinstanz erwägt hierzu, das Strafantragsrecht stehe auch der Person zu, der eine Sache nur zur Miete oder Gebrauchsleihe überlassen worden sei. Innerhalb der gesetzlichen Frist habe nur A. einen Strafantrag gestellt.</w:t>
      </w:r>
    </w:p>
    <w:p>
      <w:r>
        <w:rPr>
          <w:b/>
        </w:rPr>
        <w:t>E. 1.2</w:t>
      </w:r>
    </w:p>
    <w:p>
      <w:r>
        <w:t>Ist eine Tat nur auf Antrag strafbar, so kann jede Person, die durch sie verletzt worden ist, die Bestrafung des Täters beantragen ( Art. 30 Abs. 1 StGB ). Das Antragsrecht erlischt nach Ablauf von drei Monaten. Die Frist beginnt mit dem Tag, an welchem der antragsberechtigten Person der Täter bekannt wird ( Art. 31 StGB ). Die Antragsberechtigung gemäss Art. 30 Abs. 1 StGB richtet sich nach dem Träger des angegriffenen Rechtsgutes. Handelt es sich nicht um höchstpersönliche Rechtsgüter, kann auch derjenige im Sinne von Art. 30 Abs. 1 StGB verletzt sein, in dessen Rechtskreis die Tat unmittelbar eingreift, sowie derjenige, dem eine besondere Verantwortung für die Erhaltung des Gegenstandes obliegt. Hinsichtlich der Sachbeschädigung hat das Bundesgericht die Antragsberechtigung in diesem Sinne auch auf den Mieter bzw. jeden Berechtigten, der die Sache nicht mehr gebrauchen kann, ausgedehnt. Ebenso hat es angenommen, das Strafantragsrecht stehe bei einem Aneignungsdelikt, sofern dieses nur auf Antrag verfolgt wird, auch anderen Berechtigten zu, deren Interessen am Gebrauch der Sache durch die Wegnahme derselben unmittelbar beeinträchtigt wurden ( BGE 118 IV 209 E. 3b; BGE 121 IV 258 E. 2b; je mit Hinweisen; zum Strafantragsrecht des Mieters eines Autos TRECHSEL/JEAN-RICHARD, in: Schweizerisches Strafgesetzbuch, Praxiskommentar, Trechsel/Pieth [Hrsg.], 3. Aufl. 2018, N. 2 zu Art. 30 StGB mit Hinweis auf SJZ 57/1961 S. 176).</w:t>
      </w:r>
    </w:p>
    <w:p>
      <w:r>
        <w:rPr>
          <w:b/>
        </w:rPr>
        <w:t>E. 1.3</w:t>
      </w:r>
    </w:p>
    <w:p>
      <w:r>
        <w:t>Die angeblich durch den Beschwerdeführer verursachte Delle hinderte A. nicht daran, ihre Fahrt fortzusetzen. Sie war in der Benutzung des ihr geliehenen Fahrzeugs in keiner Weise beeinträchtigt. Für den Zufall haftet A. als Entlehnerin nur bei nicht bestimmungsgemässen Gebrauch ( Art. 306 Abs. 3 OR ), weshalb ihr auch keine besondere Verantwortung für die Erhaltung der Sache zukommt. Sie ist demnach nicht berechtigt, Strafantrag zu stellen.</w:t>
      </w:r>
    </w:p>
    <w:p>
      <w:r>
        <w:rPr>
          <w:b/>
        </w:rPr>
        <w:t>E. 1.4</w:t>
      </w:r>
    </w:p>
    <w:p>
      <w:r>
        <w:t>Die Vorinstanz liess die Frage offen, ob A. den Strafantrag als bevollmächtigte Vertreterin ihrer Mutter stellte. Dies ist zu verneinen. BGE 144 IV 49 S. 52 Selbst wenn eine gültige Vollmacht vorliegen sollte, handelte A. ausschliesslich in ihrem eigenen Namen; von der im ihr vorgelegten Formular vorgesehenen Möglichkeit, auf ein allfälliges Stellvertretungsverhältnis hinzuweisen, machte sie keinen Gebrauch.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