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198</w:t>
      </w:r>
    </w:p>
    <w:p>
      <w:r>
        <w:t>Bundesgericht (BGE), 2018-05-23, DE</w:t>
      </w:r>
    </w:p>
    <w:p>
      <w:r>
        <w:rPr>
          <w:b/>
        </w:rPr>
        <w:t xml:space="preserve">Quelle: </w:t>
      </w:r>
      <w:r>
        <w:t>https://mcp.opencaselaw.ch/entscheid/bge_BGE_144_IV_198</w:t>
      </w:r>
    </w:p>
    <w:p>
      <w:r>
        <w:t>FR: ATF 144 IV 198</w:t>
      </w:r>
    </w:p>
    <w:p>
      <w:r>
        <w:t>IT: DTF 144 IV 198</w:t>
      </w:r>
    </w:p>
    <w:p>
      <w:pPr>
        <w:pStyle w:val="Heading2"/>
      </w:pPr>
      <w:r>
        <w:t>Regeste</w:t>
      </w:r>
    </w:p>
    <w:p>
      <w:r>
        <w:t>Regeste Art. 391 Abs. 2 StPO, Art. 34 Abs. 2 Satz 3 StGB; Verschlechterungsverbot und Höhe des Tagessatzes von Geldstrafen. Aufgrund von Tatsachen, die dem erstinstanzlichen Gericht nicht bekannt sein konnten, kann die Rechtsmittelinstanz eine strengere Bestrafung ausfällen, auch wenn das Rechtsmittel nur zu Gunsten der beschuldigten Person ergriffen worden ist. Ob solche Tatsachen vor oder nach dem erstinstanzlichen Urteil eingetreten sind, ist unerheblich (E. 5.3). Die persönlichen und wirtschaftlichen Verhältnisse zur Bemessung der Höhe des Tagessatzes nach Art. 34 Abs. 2 Satz 3 StGB können solche Tatsachen sein. Das Berufungsgericht verletzt mit der Erhöhung des Tagessatzes angesichts der von ihm festgestellten und nach dem erstinstanzlichen Urteil verbesserten finanziellen Verhältnisse des Beschwerdeführers das Verschlechterungsverbot nicht (E. 5.4).</w:t>
      </w:r>
    </w:p>
    <w:p>
      <w:r>
        <w:t>Regeste Art. 391 al. 2 CPP, art. 34 al. 2, 3 e phrase, CP; interdiction de la reformatio in pejus et montant du jour-amende. L'autorité de dernière instance peut prononcer une sanction plus sévère à la lumière de faits nouveaux qui ne pouvaient pas être connus du tribunal de première instance, également lorsque la voie de droit a été interjetée uniquement en faveur du prévenu. Il importe peu de savoir si les faits nouveaux sont survenus avant ou après le jugement de première instance (consid. 5.3). La situation personnelle et économique pertinente pour la fixation du montant du jour-amende au sens de l'art. 34 al. 2, 3 e phrase, CP est susceptible de constituer un tel fait nouveau. La juridiction d'appel ne viole pas l'interdiction de la reformatio in pejus lorsqu'elle augmente le montant du jour-amende après avoir constaté une amélioration de la situation financière de l'appelant depuis le jugement de première instance (consid. 5.4).</w:t>
      </w:r>
    </w:p>
    <w:p>
      <w:r>
        <w:t>Regesto Art. 391 cpv. 2 CPP, art. 34 cpv. 2 terza frase CP; divieto della reformatio in peius e importo dell'aliquota giornaliera della pena pecuniaria. Anche se il ricorso è stato esperito esclusivamente a favore dell'imputato, la giurisdizione di ricorso può pronunciare una punizione più severa sulla base di fatti di cui il tribunale di primo grado non poteva essere a conoscenza. È irrilevante che tali fatti siano anteriori o posteriori alla sentenza di prima istanza (consid. 5.3). La situazione personale ed economica dell'autore rilevante, giusta l'art. 34 cpv. 2 terza frase CP, per la determinazione dell'aliquota giornaliera può costituire uno di questi fatti. Aumentando l'importo dell'aliquota giornaliera sulla base di un accertato miglioramento della situazione finanziaria del ricorrente, posteriore alla sentenza di prima istanza, il tribunale d'appello non viola il divieto della reformatio in peius (consid. 5.4).</w:t>
      </w:r>
    </w:p>
    <w:p>
      <w:pPr>
        <w:pStyle w:val="Heading2"/>
      </w:pPr>
      <w:r>
        <w:t>Erwägungen</w:t>
      </w:r>
    </w:p>
    <w:p>
      <w:r>
        <w:rPr>
          <w:b/>
        </w:rPr>
        <w:t>E. 5</w:t>
      </w:r>
    </w:p>
    <w:p>
      <w:r>
        <w:t>(...)</w:t>
      </w:r>
    </w:p>
    <w:p>
      <w:r>
        <w:rPr>
          <w:b/>
        </w:rPr>
        <w:t>E. 5.3</w:t>
      </w:r>
    </w:p>
    <w:p>
      <w:r>
        <w:t>Gemäss der am 1. Januar 2018 in Kraft getretenen, aber unveränderten Fassung von Art. 34 Abs. 2 Satz 3 StGB bestimmt das Gericht die Höhe des Tagessatzes nach den persönlichen und wirtschaftlichen Verhältnissen des Täters im Zeitpunkt des Urteils. Die Rechtsmittelinstanz darf Entscheide jedoch nicht zum Nachteil der beschuldigten oder verurteilten Person abändern, wenn das Rechtsmittel nur zu deren Gunsten ergriffen worden ist (vgl. Art. 391 Abs. 2 Satz 1 StPO ). Der Sinn dieses Verschlechterungsverbots (Verbot der reformatio in peius) besteht darin, dass die beschuldigte Person nicht durch die Befürchtung, strenger angefasst zu werden, von der Ausübung eines Rechtsmittels abgehalten werden soll ( BGE 142 IV 89 E. 2.1 S. 90 mit Hinweisen). Vorbehalten bleibt nach Art. 391 Abs. 2 Satz 2 StPO indes eine strengere Bestrafung aufgrund von Tatsachen, die dem erstinstanzlichen Gericht nicht bekannt sein konnten. Ob solche Tatsachen vor oder nach dem erstinstanzlichen Urteil eingetreten sind, ist unerheblich (vgl. SCHMID/JOSITSCH, Handbuch des schweizerischen Strafprozessrechts, 3. Aufl. 2017, N. 1494; VIKTOR LIEBER, in: Kommentar zur Schweizerischen Strafprozessordnung [StPO], Donatsch/Hansjakob/Lieber [Hrsg.], 2. Aufl. 2014, N. 21 zu Art. 391 StPO ).</w:t>
      </w:r>
    </w:p>
    <w:p>
      <w:r>
        <w:rPr>
          <w:b/>
        </w:rPr>
        <w:t>E. 5.4.1</w:t>
      </w:r>
    </w:p>
    <w:p>
      <w:r>
        <w:t>Das vorinstanzliche Urteil erging auf Berufung der drei beschuldigten Personen einschliesslich des Beschwerdeführers hin. Die weiteren Parteien erklärten keine Berufung oder Anschlussberufung. Nach Art. 391 Abs. 2 Satz 1 StPO durfte die Vorinstanz den erstinstanzlichen Entscheid deshalb grundsätzlich nicht zum Nachteil des Beschwerdeführers abändern. Weder der Beschwerdeführer noch die Vorinstanz setzen sich indessen mit dem Vorbehalt des BGE 144 IV 198 S. 201 Verschlechterungsverbots in Art. 391 Abs. 2 Satz 2 StPO auseinander. Dies ist im Folgenden nachzuholen (vgl. Art. 106 Abs. 1 BGG ).</w:t>
      </w:r>
    </w:p>
    <w:p>
      <w:r>
        <w:rPr>
          <w:b/>
        </w:rPr>
        <w:t>E. 5.4.2</w:t>
      </w:r>
    </w:p>
    <w:p>
      <w:r>
        <w:t>Der Standpunkt des Beschwerdeführers, es könne nicht von veränderten finanziellen Verhältnissen ausgegangen werden, ist nicht nachvollziehbar. Er beschränkt sich darauf, sein durch die beiden kantonalen Instanzen jeweils unterschiedlich festgestelltes Einkommen wiederzugeben. Das Einkommen des Täters bildet zudem lediglich Ausgangspunkt für die Bemessung der Höhe des Tagessatzes (vgl. BGE 134 IV 60 E. 6.1 ff. mit Hinweisen). Zu den weiteren zu berücksichtigenden Kriterien, welche die Vorinstanz in ihrer Begründung ebenfalls herangezogen hat (vgl. nicht publ. E. 5.2), äussert er sich nicht. Die entsprechenden vorinstanzlichen Erwägungen, auf welche verwiesen werden kann, lassen ohne Weiteres den Schluss zu, dass sich die finanziellen Verhältnisse des Beschwerdeführers seit dem Zeitpunkt des erstinstanzlichen Urteils vom 27. März 2015 nicht nur verändert, sondern verbessert haben.</w:t>
      </w:r>
    </w:p>
    <w:p>
      <w:r>
        <w:rPr>
          <w:b/>
        </w:rPr>
        <w:t>E. 5.4.3</w:t>
      </w:r>
    </w:p>
    <w:p>
      <w:r>
        <w:t>Die von der Vorinstanz festgestellten verbesserten finanziellen Verhältnisse des Beschwerdeführers sind Tatsachen im Sinne von Art. 391 Abs. 2 Satz 2 StPO , die dem erstinstanzlichen Gericht zum Zeitpunkt seines Urteils noch nicht bekannt sein konnten. Die Vorinstanz durfte angesichts dieser Tatsachen gestützt auf Art. 391 Abs. 2 Satz 2 StPO die Höhe der einzelnen Tagessätze anpassen. Hätte sie dies nicht getan, wäre sie dem Prinzip, nach welchem der wirtschaftlich Starke von einer Geldstrafe nicht minder hart getroffen werden darf als der wirtschaftlich Schwache, nicht gerecht geworden (vgl. BGE 134 IV 82 E. 7.2.4 S. 91 mit Hinweisen). Es wäre zudem stossend, wenn Tatsachen, von denen erst nach dem Urteil des erstinstanzlichen Urteils Kenntnis erlangt wurde, nicht - auch zum Nachteil der beschuldigten Person - verwendet werden könnten (vgl. Botschaft vom 21. Dezember 2005 zur Vereinheitlichung des Strafprozessrechts, BBl 2006 1311 Ziff. 2.9.1). Die sinngemässe Rüge des Beschwerdeführers, die Regelung nach Art. 34 Abs. 2 StGB , wonach die persönlichen und wirtschaftlichen Verhältnisse des Täters im Zeitpunkt des Urteils massgebend sind, könne keine Ausnahme vom Verschlechterungsverbot gemäss Art. 391 Abs. 2 Satz 1 StPO darstellen, braucht aufgrund der Anwendung von Art. 391 Abs. 2 Satz 2 StPO an dieser Stelle folglich nicht beantwortet zu werden. Immerhin ist in diesem Zusammenhang darauf hinzuweisen, dass das Verbot der reformatio in peius nicht zu den verfassungsmässigen Rechten zählt und sich auch nicht aus der EMRK BGE 144 IV 198 S. 202 herleiten lässt (vgl. BGE 139 IV 282 E. 2.3.1 S. 284 mit Hinweisen). Im Ergebnis hat die Vorinstanz das Verschlechterungsverbot nicht verletzt und die Beschwerde ist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