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93</w:t>
      </w:r>
    </w:p>
    <w:p>
      <w:r>
        <w:rPr>
          <w:i/>
        </w:rPr>
        <w:t>Bundesgericht (BGE)</w:t>
      </w:r>
      <w:r>
        <w:rPr>
          <w:i/>
        </w:rPr>
        <w:t xml:space="preserve">  ·  2018-01-22</w:t>
      </w:r>
      <w:r>
        <w:rPr>
          <w:i/>
        </w:rPr>
        <w:t xml:space="preserve">  ·  FR</w:t>
      </w:r>
    </w:p>
    <w:p>
      <w:r>
        <w:rPr>
          <w:b/>
        </w:rPr>
        <w:t xml:space="preserve">Source: </w:t>
      </w:r>
      <w:r>
        <w:t>https://mcp.opencaselaw.ch/entscheid/bge_BGE_144_III_93</w:t>
      </w:r>
    </w:p>
    <w:p>
      <w:r>
        <w:t>FR: ATF 144 III 93 · IT: DTF 144 III 93</w:t>
      </w:r>
    </w:p>
    <w:p>
      <w:pPr>
        <w:pStyle w:val="Heading2"/>
      </w:pPr>
      <w:r>
        <w:t>Regeste</w:t>
      </w:r>
    </w:p>
    <w:p>
      <w:r>
        <w:t>Regeste Darlehensvertrag (Art. 312 OR) oder Schenkung (Art. 239 Abs. 1 OR). Anwendung der Prinzipien zur Auslegung des Parteiwillens (Art. 18 Abs. 1 OR und Vertrauensprinzip). Kann ein tatsächlich übereinstimmender Wille der Parteien nicht festgestellt werden (fehlender natürlicher Konsens), hat das Gericht den objektiven Willen der Parteien nach dem Vertrauensprinzip zu bestimmen (Bestimmung des rechtlichen Konsens). Ein rechtlicher Konsens bedeutet nicht zwingend, dass die sich äussernde Partei tatsächlich den inneren Willen hatte, sich zu binden; es reicht, wenn die andere Partei aufgrund der nach dem objektiv verstandenen Sinn der Erklärung oder dem Verhalten nach Treu und Glauben annehmen konnte, die sich äussernde Partei habe einen Rechtsbindungswillen. Ein Schenkungswille kann unter gewissen Umständen einer Partei zugeschrieben werden, die eine Geldsumme überwies, selbst wenn dies nicht mit ihrem tatsächlichen (inneren) Willen übereinstimmt (E. 5).</w:t>
      </w:r>
    </w:p>
    <w:p>
      <w:r>
        <w:t>Regeste Prêt de consommation (art. 312 CO) ou donation (art. 239 al. 1 CO). Application des principes d'interprétation de la volonté des parties (art. 18 al. 1 CO et principe de la confiance). Si la volonté réelle des parties ne peut pas être établie (absence d'un accord de fait), le juge doit alors rechercher leur volonté objective, selon le principe de la confiance (recherche d'un accord de droit). Un accord de droit ne suppose pas nécessairement que le déclarant ait eu la volonté interne (ou intime) de s'engager; il suffit que le sens objectif de sa déclaration ou de son comportement ait permis à l'autre partie de déduire, de bonne foi, une volonté de s'engager. Une volonté de donner peut, dans certaines circonstances, être imputée à celui qui a remis une somme d'argent, même si cela ne correspond pas à sa volonté intime (consid. 5).</w:t>
      </w:r>
    </w:p>
    <w:p>
      <w:r>
        <w:t>Regesto Mutuo (art. 312 CO) o donazione (art. 239 cpv. 1 CO). Applicazione dei principi dell'interpretazione della volontà delle parti (art. 18 cpv. 1 CO e principio dell'affidamento). Se la reale volontà delle parti non può essere stabilita (assenza di un accordo di fatto), il giudice deve ricercare la loro volontà oggettiva secondo il principio dell'affidamento (ricerca di un accordo di diritto). Un accordo di diritto non presuppone necessariamente che il dichiarante abbia avuto la volontà interna (o effettiva) di obbligarsi; è sufficiente che il senso oggettivo della sua dichiarazione o del suo comportamento abbia permesso all'altra parte di dedurre, in buona fede, una volontà di obbligarsi. Una volontà di donare può, in certe circostanze, essere attribuita a chi ha rimesso una somma di denaro, anche se ciò non corrisponde alla sua volontà effettiva (consid. 5).</w:t>
      </w:r>
    </w:p>
    <w:p>
      <w:pPr>
        <w:pStyle w:val="Heading2"/>
      </w:pPr>
      <w:r>
        <w:t>Erwägungen</w:t>
      </w:r>
    </w:p>
    <w:p>
      <w:r>
        <w:rPr>
          <w:b/>
        </w:rPr>
        <w:t>E. 5</w:t>
      </w:r>
    </w:p>
    <w:p>
      <w:r>
        <w:t>Il est établi que le demandeur a effectivement versé le montant de 2'222'000 FF à son amie pour qu'elle puisse acheter la villa de Mougins. Est litigieuse la cause de ce versement: devant le Tribunal fédéral, le demandeur fait uniquement valoir qu'il avait prêté ce montant à son amie, alors que celle-ci soutient qu'il le lui a remis en don, pour compenser la perte de prévoyance qu'elle allait subir du fait qu'elle allait prendre une retraite anticipée comme il l'avait souhaité.</w:t>
      </w:r>
    </w:p>
    <w:p>
      <w:r>
        <w:rPr>
          <w:b/>
        </w:rPr>
        <w:t>E. 5.1.1</w:t>
      </w:r>
    </w:p>
    <w:p>
      <w:r>
        <w:t>Le prêt de consommation est un contrat par lequel le prêteur s'oblige à transférer la propriété d'une somme d'argent ou d'autres choses fongibles à l'emprunteur, à charge par ce dernier de lui en rendre autant de même espèce et qualité ( art. 312 CO ). La restitution du prêt est soumise à deux conditions: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BGE 144 III 93 S. 97 de l'argent par le prêteur n'est qu'une condition de l'obligation de restituer ( ATF 83 II 209 consid. 2 p. 210). En réalité, le juge doit déterminer, en appliquant les règles d'interprétation des contrats (cf. infra consid. 5.2), si les parties sont convenues d'une obligation de restitution; pour ce faire, il se base sur toutes les circonstances concrètes de l'espèce, qu'il incombe au prêteur d'établir ( art. 8 CC ). Dans certaines circonstances exceptionnelles, le seul fait de recevoir une somme d'argent peut constituer un élément suffisant pour admettre l'existence d'une obligation de restituer et, partant, d'un contrat de prêt ( ATF 83 II 209 consid. 2 p. 210). Il doit toutefois en résulter clairement que la remise de la somme ne peut s'expliquer raisonnablement que par la conclusion d'un prêt ( ATF 28 I 674 consid. 2 et 3 p. 686 cité in ATF 83 II 209 ).</w:t>
      </w:r>
    </w:p>
    <w:p>
      <w:r>
        <w:rPr>
          <w:b/>
        </w:rPr>
        <w:t>E. 5.1.2</w:t>
      </w:r>
    </w:p>
    <w:p>
      <w:r>
        <w:t>La donation est la disposition entre vifs par laquelle une personne cède tout ou partie de ses biens à une autre sans contre-prestation correspondante ( art. 239 al. 1 CO ). Il s'agit d'un contrat, qui suppose un accord des parties sur un transfert patrimonial à titre gratuit ( art. 1 al. 1 CO ) et donc une acceptation de la part du donataire. L'acceptation peut intervenir par actes concluants ( art. 1 al. 2 CO ) et, comme la donation ne présente que des avantages pour le donataire, elle peut être tacite ( art. 6 CO ; ATF 136 III 142 consid. 3.3). La gratuité est la caractéristique essentielle de la donation: l'attribution est faite dans le but immédiat d'enrichir le donataire, sans contre-partie, du moins sans contre-partie équivalente. Elle n'exclut cependant pas toute espèce de prestation ou de service promis en même temps par le donataire (TERCIER/BIERI/CARRON, Les contrats spéciaux, 5 e éd. 2016, n. 1497).</w:t>
      </w:r>
    </w:p>
    <w:p>
      <w:r>
        <w:rPr>
          <w:b/>
        </w:rPr>
        <w:t>E. 5.2</w:t>
      </w:r>
    </w:p>
    <w:p>
      <w:r>
        <w:t>Savoir si les parties sont convenues d'un contrat de prêt, comme le soutient le demandeur, ou d'une donation, comme le prétend la défenderesse, est affaire d'interprétation de leurs manifestations de volonté.</w:t>
      </w:r>
    </w:p>
    <w:p>
      <w:r>
        <w:rPr>
          <w:b/>
        </w:rPr>
        <w:t>E. 5.2.1</w:t>
      </w:r>
    </w:p>
    <w:p>
      <w:r>
        <w:t>En droit suisse des contrats, la question de savoir si les parties ont conclu un accord est soumise au principe de la priorité de la volonté subjective sur la volonté objective ( ATF 123 III 35 consid. 2b p. 39). Lorsque les parties se sont exprimées de manière concordante (échange de manifestations de volonté concordantes; übereinstimmende Willenserklärungen), qu'elles se sont effectivement comprises et, partant, BGE 144 III 93 S. 98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(cf. ATF 123 III 35 précité consid. 2b p. 39; GAUCH/SCHLUEP/SCHMID, Schweizerisches Obligationenrecht, Allgemeiner Teil, vol. I, 2014, n. 308 ss).</w:t>
      </w:r>
    </w:p>
    <w:p>
      <w:r>
        <w:rPr>
          <w:b/>
        </w:rPr>
        <w:t>E. 5.2.2</w:t>
      </w:r>
    </w:p>
    <w:p>
      <w:r>
        <w:t>En procédure, le juge doit donc rechercher, dans un premier temps, la réelle et commune intention des parties (interprétation subjective), le cas échéant empiriquement, sur la base d'indices ( ATF 132 III 268 consid. 2.3.2, ATF 132 III 626 consid. 3.1 p. 632;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5.2.3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BGE 144 III 93 S. 99 volonté objective, en déterminant le sens que, d'après les règles de la bonne foi, chacune d'elles pouvait et devait raisonnablement prêter aux déclarations de volonté de l'autre. Il s'agit d'une interprétation selon le principe de la confiance (arrêts 4A_508/2016 déjà cité consid. 6.2 et les arrêts cités;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rPr>
          <w:b/>
        </w:rPr>
        <w:t>E. 5.3</w:t>
      </w:r>
    </w:p>
    <w:p>
      <w:r>
        <w:t>En l'espèce, la cour cantonale a recherché uniquement la volonté réelle des parties. (...)</w:t>
      </w:r>
    </w:p>
    <w:p>
      <w:r>
        <w:rPr>
          <w:b/>
        </w:rPr>
        <w:t>E. 5.4</w:t>
      </w:r>
    </w:p>
    <w:p>
      <w:r>
        <w:t>La cour cantonale ne pouvait toutefois pas s'arrêter là. En effet, conformément aux principes applicables à l'interprétation des contrats, elle devait encore rechercher s'il y a eu accord de droit, par interprétation objective de la volonté des parties, en ne perdant pas de vue que le principe de la confiance permet aussi d'imputer à une partie le sens objectif de sa déclaration ou de son comportement, même si celui-ci ne correspond pas à sa volonté intime. S'agissant d'une question de droit, dont les parties ne pouvaient ignorer la pertinence juridique, la cour de céans est en mesure de statuer immédiatement, sans renvoi à la cour cantonale, sur la base des faits constatés dans l'arrêt attaqué.</w:t>
      </w:r>
    </w:p>
    <w:p>
      <w:r>
        <w:rPr>
          <w:b/>
        </w:rPr>
        <w:t>E. 5.4.1</w:t>
      </w:r>
    </w:p>
    <w:p>
      <w:r>
        <w:t>Il ressort de l'arrêt attaqué que les 25 juin et 25 août 1997, le demandeur a transféré à son amie le montant de 2'000'000 FF pour acheter une villa à Mougins, que celle-ci l'a achetée en septembre 1997, que le 15 janvier 1999, elle a emménagé avec le demandeur à Rolle et qu'elle a pris sa retraite anticipée le 1 er février 1999, soit dans BGE 144 III 93 S. 100 l'année de ses 58 ans, de sorte qu'elle n'a perçu qu'une rente mensuelle de 4'815 fr. au lieu des 6'990 fr. qu'elle aurait perçus si elle n'avait pas pris de retraite anticipée. Le demandeur n'a ni allégué ni prouvé l'état de sa fortune à l'époque de la remise du montant litigieux.</w:t>
      </w:r>
    </w:p>
    <w:p>
      <w:r>
        <w:rPr>
          <w:b/>
        </w:rPr>
        <w:t>E. 5.4.2</w:t>
      </w:r>
    </w:p>
    <w:p>
      <w:r>
        <w:t>Contrairement à ce que croit le recourant, la question n'est pas de savoir si, lorsqu'il a remis les fonds à son amie pour acheter la villa de Mougins, il avait la volonté interne de lui faire un prêt, qu'elle devrait lui rembourser ultérieurement. Ce qui est décisif, c'est de déterminer si, dans les circonstances de l'espèce, l'amie pouvait penser de bonne foi que la somme de 2'222'000 FF lui était remise à titre gratuit (donation) pour compenser sa perte de prévoyance, comme elle l'avait déclaré aux personnes de sa connaissance entendues comme témoins. Certes, le montant de 2'222'000 FF est en lui-même important. D'un autre côté, la perte de prévoyance que l'amie a subie est de plus de 2'000 fr. par mois, sa vie durant. Il peut et doit donc être admis que, de bonne foi, elle pouvait raisonnablement comprendre que le montant qui lui avait été remis pour acheter la villa lui avait été donné. Dès lors que le demandeur n'a pas allégué ni prouvé le montant total de sa fortune, il n'est pas possible de déterminer si l'on se trouvait dans une situation exceptionnelle au sens de la jurisprudence, en ce sens qu'il ne pourrait s'agir que d'un prêt, au vu de la comparaison entre le montant remis et le montant de la fortune. Le seul fait que le demandeur ait pris sa retraite en 1994 ne donne aucune indication à cet égard. Il en va de même du fait que l'amie avait été d'accord de prendre une retraite anticipée, pour pouvoir voyager avec son compagnon et bénéficier de plus de temps libre, et que l'achat de la villa a été effectué près d'un an et demi avant sa prise de retraite.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