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74</w:t>
      </w:r>
    </w:p>
    <w:p>
      <w:r>
        <w:t>Bundesgericht (BGE), 2018-01-01, FR</w:t>
      </w:r>
    </w:p>
    <w:p>
      <w:r>
        <w:rPr>
          <w:b/>
        </w:rPr>
        <w:t xml:space="preserve">Quelle: </w:t>
      </w:r>
      <w:r>
        <w:t>https://mcp.opencaselaw.ch/entscheid/bge_BGE_144_III_74</w:t>
      </w:r>
    </w:p>
    <w:p>
      <w:r>
        <w:t>FR: ATF 144 III 74</w:t>
      </w:r>
    </w:p>
    <w:p>
      <w:r>
        <w:t>IT: DTF 144 III 74</w:t>
      </w:r>
    </w:p>
    <w:p>
      <w:pPr>
        <w:pStyle w:val="Heading2"/>
      </w:pPr>
      <w:r>
        <w:t>Regeste</w:t>
      </w:r>
    </w:p>
    <w:p>
      <w:r>
        <w:t>Regeste Art. 13, 17 und 132 SchKG; Art. 12 VVAG; Stellung des mit der Auflösung und Liquidation einer Gemeinschaft beauftragten Verwalters; auf die rechtliche Aufsicht gestützte Weisungen der Aufsichtsbehörde. Der Verwalter, den die Aufsichtsbehörde für die Auflösung und Liquidation eines Gemeinschaftsverhältnisses bezeichnet, ist ein ausserordentliches Vollstreckungsorgan und handelt an der Stelle des Betreibungsamtes (E. 4.1). Kraft ihrer Befugnis zur rechtlichen Aufsicht kann die Aufsichtsbehörde einem Vollstreckungsorgan eine allgemeine oder eine konkrete Weisung erteilen. Diese Weisung unterliegt keiner Beschwerde (E. 4.3).</w:t>
      </w:r>
    </w:p>
    <w:p>
      <w:r>
        <w:t>Regeste Art. 13, 17 et 132 LP; art. 12 OPC; statut de l'administrateur chargé de dissoudre et liquider une communauté; instructions relevant de la surveillance juridictionnelle de l'autorité de surveillance. L'administrateur nommé par l'autorité de surveillance pour dissoudre et liquider une communauté est un organe extraordinaire de la poursuite qui agit à la place de l'office des poursuites (consid. 4.1). En vertu de son pouvoir de surveillance juridictionnelle, l'autorité de surveillance peut donner une instruction générale ou individuelle à un organe de poursuite. Cette instruction ne peut faire l'objet d'une plainte ou d'un recours (consid. 4.3).</w:t>
      </w:r>
    </w:p>
    <w:p>
      <w:r>
        <w:t>Regesto Art. 13, 17 e 132 LEF; art. 12 ODiC; statuto dell'amministratore incaricato di sciogliere e liquidare una comunione; istruzioni inerenti alla vigilanza giurisdizionale dell'autorità di vigilanza. L'amministratore nominato dall'autorità di vigilanza per sciogliere e liquidare una comunione è un organo straordinario dell'esecuzione che agisce al posto dell'ufficio di esecuzione (consid. 4.1). In virtù del suo potere di vigilanza giurisdizionale, l'autorità di vigilanza può impartire un'istruzione generale o individuale ad un organo dell'esecuzione. Tale istruzione non può essere impugnata mediante ricorso (consid. 4.3).</w:t>
      </w:r>
    </w:p>
    <w:p>
      <w:pPr>
        <w:pStyle w:val="Heading2"/>
      </w:pPr>
      <w:r>
        <w:t>Erwägungen</w:t>
      </w:r>
    </w:p>
    <w:p>
      <w:r>
        <w:rPr>
          <w:b/>
        </w:rPr>
        <w:t>E. 4</w:t>
      </w:r>
    </w:p>
    <w:p>
      <w:r>
        <w:t>(...)</w:t>
      </w:r>
    </w:p>
    <w:p>
      <w:r>
        <w:rPr>
          <w:b/>
        </w:rPr>
        <w:t>E. 4.1</w:t>
      </w:r>
    </w:p>
    <w:p>
      <w:r>
        <w:t>Lorsqu'il s'agit de réaliser une part de communauté, il appartient à l'autorité de surveillance de fixer le mode de réalisation ( art. 132 al. 1 LP ). Selon l' art. 132 al. 3 LP , après avoir consulté les intéressés, l'autorité peut ordonner la vente aux enchères, confier la réalisation à un gérant ou prendre toute autre mesure. L'OPC prévoit toutefois des mesures plus précises qui restreignent le pouvoir attribué à l'autorité de surveillance par la norme précitée ( ATF 135 III 179 consid. 2.1; ATF 96 III 10 consid. 2; arrêt 5A_478/2012 du 14 août 2012 consid. 3.1). Cette procédure est aussi applicable à la part que le débiteur possède dans une société simple, lorsque les associés n'ont pas convenu la copropriété ( art. 1 al. 2 OPC ; arrêt 5A_758/2015 du 22 février 2016 consid. 3.1; sur la procédure, cf. HOCH, Auflösung und Liquidation der einfachen Gesellschaft, 2001, n. 155 ss). Si l'office ne parvient pas à amener les parties à une entente amiable ( art. 9 al. 1 OPC ), l'autorité de surveillance doit fixer de manière obligatoire le mode de réalisation que l'office doit mettre en oeuvre ( art. 10 OPC ). Le choix entre la vente aux enchères comme telle de la part de communauté saisie et la dissolution et la liquidation de la communauté relève de l'opportunité, sous réserve des critères de l' art. 10 al. 3 et 4 OPC ( ATF 135 III 179 consid. 2.1; ATF 96 III 10 consid. 2; ATF 87 III 109 ; arrêt 5A_758/2015 précité consid. 3.2). Si l'autorité de surveillance ordonne la dissolution et la liquidation de la communauté, elle peut, au lieu de recourir à l'office, nommer un administrateur qui prendra les mesures juridiques nécessaires pour procéder à la dissolution et à la liquidation et exercera à cet effet tous les droits appartenant au débiteur ( art. 12, 1 re phrase, OPC; ATF 135 précité consid. 1.5; 93 III 116 consid. 1; arrêt 5A_758/2015 précité consid. 3.2). L'administrateur agit, de manière comparable à l'administration de la faillite pour le failli, en tant que représentant légal du poursuivi (RUTZ/ROTH, in Basler Kommentar, Bundesgesetz über Schuldbetreibung und Konkurs, vol. I, 2 e éd. 2010, n° 36b ad art. 132 BGE 144 III 74 S. 79 LP ). Il exerce les droits du poursuivi dans le respect des règles tant légales que contractuelles de liquidation de la société (SCHLEGEL/ZOPFI, in Kommentar zum Bundesgesetz über Schuldbetreibung und Konkurs [SchKG], 4 e éd. 2017, n° 10 ad art. 132 LP ). Sa position dans la liquidation correspond à celle qui revient au débiteur qui est donc, de par la loi, représenté dans l'exercice de ses droits. Il n'a ni plus ni moins de compétences que le débiteur (BISANG, Die Zwangsverwertung von Anteilen an Gesamthandschaften, 1978, p. 190, 193; HOCH, op. cit., n. 171; arrêt du Tribunal cantonal lucernois du 9 septembre 2013 consid. 5.5, in BlSchK 2015 p. 118 ss). L'administrateur nommé est un organe extraordinaire de la poursuite. Il agit à la place de l'office et n'est pas soumis à la surveillance de ce dernier mais à celle de l'autorité de surveillance, comme l'est l'administration privée de la faillite (à propos de celle-ci, cf. entre autres: arrêt 5A_25/2012 du 4 juin 2012 consid. 4.2, in Pra 2012 n. 132 p. 952; GILLIÉRON, Poursuite pour dettes, faillite et concordat, 5 e éd. 2012, n. 1923; LORANDI, Betreibungsrechtliche Beschwerde und Nichtigkeit, 2000, n° 26 ad art. 13 LP ). (...)</w:t>
      </w:r>
    </w:p>
    <w:p>
      <w:r>
        <w:rPr>
          <w:b/>
        </w:rPr>
        <w:t>E. 4.3</w:t>
      </w:r>
    </w:p>
    <w:p>
      <w:r>
        <w:t>L'autorité de surveillance exerce sa surveillance juridictionnelle sur tous les organes de l'exécution forcée dont les décisions ou les omissions peuvent faire l'objet d'une plainte ( art. 17 LP ; LORANDI, op. cit., n os 25 ss ad art. 13 LP ). En vertu de ce pouvoir, elle intervient sur plainte ou aussi d'office pour faire respecter la loi et peut prendre toutes les décisions ou mesures nécessaires pour remédier aux procédés illégaux d'une autorité de poursuite ou d'un organe de l'exécution forcée, ainsi que pour sauvegarder les droits compromis ou menacés des intéressés (arrêt 5A_675/2011 du 19 janvier 2012 consid. 3.3; cf. entre autres: WEINGART, in Kommentar zum Bundesgesetz über Schuldbetreibung und Konkurs [SchKG], 4 e éd. 2017, n° 5 ad art. 13 LP ). Elle peut aussi donner une instruction générale ou individuelle à un organe de poursuite (arrêt 7B.99/2006 du 1 er septembre 2006 consid. 1.5). De telles instructions ne peuvent pas faire l'objet d'une plainte ou d'un recours. Seule est attaquable la décision prise sur la base de l'instruction (arrêt 7B.198/2003 du 13 novembre 2003 consid. 4.2 et 4.3; EMMEL, in Basler Kommentar, Bundesgesetz über Schuldbetreibung und Konkurs, vol. I, 2 e éd. 2010, n° 13 ad art. 13 LP ; LEVANTE, in SchKG, Kurzkommentar, 2 e éd. 2014, n os 3 et 6 ad art. 13 LP ; LORANDI, op. cit., n os 36 et 46 ad art. 13 LP ; BGE 144 III 74 S. 80 le même , Besonderheiten der Beschwerde in Zivilsachen gegen Entscheide der kantonalen Aufsichtbehörden in SchKG-Sachen, PJA 2007 p. 433 ss [435]).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