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462</w:t>
      </w:r>
    </w:p>
    <w:p>
      <w:r>
        <w:t>Bundesgericht (BGE), 2018-04-25, FR</w:t>
      </w:r>
    </w:p>
    <w:p>
      <w:r>
        <w:rPr>
          <w:b/>
        </w:rPr>
        <w:t xml:space="preserve">Quelle: </w:t>
      </w:r>
      <w:r>
        <w:t>https://mcp.opencaselaw.ch/entscheid/bge_BGE_144_III_462</w:t>
      </w:r>
    </w:p>
    <w:p>
      <w:r>
        <w:t>FR: ATF 144 III 462</w:t>
      </w:r>
    </w:p>
    <w:p>
      <w:r>
        <w:t>IT: DTF 144 III 462</w:t>
      </w:r>
    </w:p>
    <w:p>
      <w:pPr>
        <w:pStyle w:val="Heading2"/>
      </w:pPr>
      <w:r>
        <w:t>Regeste</w:t>
      </w:r>
    </w:p>
    <w:p>
      <w:r>
        <w:t>Regeste Art. 55 Abs. 1, 150 Abs. 1 am Ende und 257 Abs. 1 lit. a ZPO, Art. 298 Abs. 2 OR; Kündigung des Pachtvertrages, fehlende Bestreitung, dass die Kündigung auf dem offiziellen Formular mitgeteilt wurde. Das Verfahren des Rechtsschutzes in klaren Fällen unterliegt der Verhandlungsmaxime. Bestreitet der Pächter die Kündigungsmitteilung auf dem offiziellen Formular nicht, stellt diese eine nicht bestrittene Tatsache dar, die unbestritten im Sinne von Art. 257 Abs. 1 lit. a ZPO ist (E. 3 und 4).</w:t>
      </w:r>
    </w:p>
    <w:p>
      <w:r>
        <w:t>Regeste Art. 55 al. 1, 150 al. 1 in fine et 257 al. 1 let. a CPC, art. 298 al. 2 CO; résiliation du contrat de bail, absence de contestation de la notification de la formule officielle. La procédure de protection dans les cas clairs est soumise à la maxime des débats. Si le fermier ne conteste pas la notification de la formule officielle, celle-ci est un fait non contesté, qui n'est pas litigieux au sens de l'art. 257 al. 1 let. a CPC (consid. 3 et 4).</w:t>
      </w:r>
    </w:p>
    <w:p>
      <w:r>
        <w:t>Regesto Art. 55 cpv. 1, 150 cpv. 1 in fine e 257 cpv. 1 lett. a CPC, art. 298 cpv. 2 CO; disdetta della locazione, assenza di una contestazione della notifica del modulo ufficiale. La procedura di tutela giurisdizionale nei casi manifesti è sottoposta alla massima dispositiva. Se l'affittuario non contesta la notifica del modulo ufficiale, questa è un fatto non controverso, che è incontestato nel senso dell'art. 257 cpv. 1 lett. a CPC (consid. 3 e 4).</w:t>
      </w:r>
    </w:p>
    <w:p>
      <w:pPr>
        <w:pStyle w:val="Heading2"/>
      </w:pPr>
      <w:r>
        <w:t>Erwägungen</w:t>
      </w:r>
    </w:p>
    <w:p>
      <w:r>
        <w:rPr>
          <w:b/>
        </w:rPr>
        <w:t>E. 3</w:t>
      </w:r>
    </w:p>
    <w:p>
      <w:r>
        <w:t>Aux termes de l' art. 257 al. 1 et 3 CPC , relatif à la procédure de protection dans les cas clairs,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w:t>
      </w:r>
    </w:p>
    <w:p>
      <w:r>
        <w:rPr>
          <w:b/>
        </w:rPr>
        <w:t>E. 3.1</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 voller Beweis )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 ATF 141 III 23 consid. 3.2; ATF 138 III 620 consid. 5.1.1 et les arrêts cités). La situation juridique est claire lorsque l'application de la norme au cas concret s'impose de façon évidente au regard du texte légal ou sur la base d'une doctrine et d'une jurisprudence éprouvées ( ATF 138 III 123 consid. 2.1.2, ATF 138 III 620 consid. 5.1.1, 728 consid. 3.3 p. 734).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 ATF 141 III 23 consid. 3.2; ATF 138 III 123 consid. 2.1.2; arrêt 4A_273/2012 du 30 octobre 2012 consid. 5.1.2, non publié in ATF 138 III 620 ). BGE 144 III 462 S. 465 Si le juge parvient à la conclusion que ces conditions sont remplies, le demandeur obtient gain de cause par une décision ayant l'autorité de la chose jugée et la force exécutoire ( ATF 138 III 620 consid. 5.1.1 p. 623 en haut). Si elles ne sont pas remplies et que le demandeur ne peut donc obtenir gain de cause, le juge ne peut que prononcer l'irrecevabilité de la demande. Il est en effet exclu que la procédure puisse aboutir au rejet de la prétention du demandeur avec autorité de la chose jugée ( ATF 140 III 315 consid. 5).</w:t>
      </w:r>
    </w:p>
    <w:p>
      <w:r>
        <w:rPr>
          <w:b/>
        </w:rPr>
        <w:t>E. 3.2</w:t>
      </w:r>
    </w:p>
    <w:p>
      <w:r>
        <w:t>La procédure de protection dans les cas clairs est soumise à la procédure sommaire des art. 248 ss CPC , plus particulièrement aux art. 252 à 256 CPC. La maxime des débats est applicable ( art. 55 al. 1 CPC ), sauf dans les deux cas prévus par l' art. 255 CPC (lequel est réservé par l' art. 55 al. 2 CPC ), qui ne sont pas pertinents en l'espèce. Dans l'application de la maxime des débats, il y a toutefois lieu de tenir compte des spécificités de la procédure de protection dans les cas clairs, ainsi que de l'articulation des voies de droit (arrêt 4A_218/2017 du 14 juillet 2017 consid. 3.1).</w:t>
      </w:r>
    </w:p>
    <w:p>
      <w:r>
        <w:rPr>
          <w:b/>
        </w:rPr>
        <w:t>E. 3.2.1</w:t>
      </w:r>
    </w:p>
    <w:p>
      <w:r>
        <w:t>En première instance, la requête doit en règle générale être formée par écrit ( art. 252 al. 2 CPC ). La réponse devrait aussi, en dérogation à l' art. 253 CPC , être formulée par écrit; si, exceptionnellement, la partie défenderesse ne dépose pas de réponse écrite et communique oralement sa réponse à l'audience, le juge de première instance doit au moins protocoler les conclusions, contestations, objections et exceptions que cette partie fait valoir, afin qu'il puisse être établi qu'elle a été entendue ( art. 235 al. 1 let . d et al. 2 CPC par analogie). Lorsque la partie défenderesse ne comparaît pas à l'audience, le juge doit, sous réserve de l' art. 153 al. 2 CPC , statuer sur la base des actes du demandeur et du dossier ( art. 234 CPC par analogie; arrêt 4A_218/2017 précité consid. 3.1.1).</w:t>
      </w:r>
    </w:p>
    <w:p>
      <w:r>
        <w:rPr>
          <w:b/>
        </w:rPr>
        <w:t>E. 3.2.2</w:t>
      </w:r>
    </w:p>
    <w:p>
      <w:r>
        <w:t>La cour d'appel revoit librement l'application du droit ( art. 57 CPC ), n'étant liée ni par la motivation du tribunal de première instance, ni par celle des parties. Si elle ne peut pas approuver le raisonnement du tribunal de première instance sur le point litigieux, elle doit procéder à une substitution de motifs, qu'il lui incombe de motiver (arrêt 4A_376/2016 du 2 décembre 2016 consid. 3.2.2).</w:t>
      </w:r>
    </w:p>
    <w:p>
      <w:r>
        <w:rPr>
          <w:b/>
        </w:rPr>
        <w:t>E. 3.2.3</w:t>
      </w:r>
    </w:p>
    <w:p>
      <w:r>
        <w:t>Saisi d'un recours en matière civile, le Tribunal fédéral applique le droit d'office ( art. 106 al. 1 LTF ). Il n'est toutefois lié ni par les motifs invoqués par les parties, ni par l'argumentation juridique BGE 144 III 462 S. 466 retenue par l'autorité cantonale; il peut donc admettre le recours pour d'autres motifs que ceux invoqués par le recourant, comme il peut le rejeter en opérant une substitution de motifs ( ATF 140 III 86 consid. 2 p. 89; ATF 135 III 397 consid. 1.4).</w:t>
      </w:r>
    </w:p>
    <w:p>
      <w:r>
        <w:rPr>
          <w:b/>
        </w:rPr>
        <w:t>E. 3.3.1</w:t>
      </w:r>
    </w:p>
    <w:p>
      <w:r>
        <w:t>Ces principes de procédure sont valables de manière générale pour la procédure de protection dans les cas clairs. Ils sont également applicables lorsque la requête tend à obtenir l'expulsion de locataires ou de fermiers, avec les précisions suivantes qui découlent du droit du bail. Selon la jurisprudence, l'action en contestation du congé formée par les locataires (ou fermiers) ne fait pas obstacle à l'action postérieure en expulsion selon l' art. 257 CPC , intentée par le bailleur ( ATF 141 III 262 consid. 3). L'action en expulsion pour défaut de paiement du loyer au sens de l' art. 257d CO , comme celle pour défaut de paiement du fermage au sens de l' art. 282 CO , selon la procédure de protection dans les cas clairs ( art. 257 CPC ), présuppose que le bail ait valablement pris fin, puisque l'extinction du bail est une condition du droit à la restitution des locaux ( art. 267 al. 1 CO , respectivement art. 299 al. 1 CO ).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 Les conditions de l' art. 257 al. 1 CPC s'appliquent également à cette question préjudicielle ( ATF 141 III 262 consid. 3.2 in fine; ATF 142 III 515 consid. 2.2.4 in fine).</w:t>
      </w:r>
    </w:p>
    <w:p>
      <w:r>
        <w:rPr>
          <w:b/>
        </w:rPr>
        <w:t>E. 3.3.2</w:t>
      </w:r>
    </w:p>
    <w:p>
      <w:r>
        <w:t>En particulier, conformément à l' art. 266l al. 2 CO , respectivement à l' art. 298 al. 2 CO , pour que la résiliation soit valable, le bailleur doit donner le congé en utilisant une formule agréée par le canton et qui indique au locataire, respectivement au fermier, la manière dont il doit procéder s'il entend contester le congé (et, en général, demander la prolongation du bail). L'inobservation de cette condition entraîne la nullité du congé ( art. 266o CO , respectivement art. 298 al. 3 CO ). La nullité pour inobservation de cette condition de forme, comme la nullité pour vice de forme du contrat en général ( art. 11 al. 2 CO ) et la nullité pour un vice touchant au contenu du contrat ( art. 20 al. 1 CO ), est une question de droit que le tribunal doit vérifier d'office BGE 144 III 462 S. 467 ( art. 57 CPC et 106 al. 1 LTF), pour autant que, puisque la maxime des débats ( art. 55 al. 1 CPC ) est applicable dans la procédure de l' art. 257 CPC , les faits sur lesquels elle repose aient été allégués par les parties et prouvés (en cas de vice de forme, cf. ATF 90 II 34 consid. 3 p. 38; en cas de contenu illicite ou contraire aux moeurs, cf. ATF 62 II 108 consid. 1 p. 109; cf. aussi GAUCH/SCHLUEP/SCHMID, Schweizerisches Obligationenrecht, Allgemeiner Teil, 10 e éd. 2014, n. 681; JEAN-FRANÇOIS POUDRET, Commentaire de la loi d'organisation judiciaire, 1990, Vol. II, n° 3.6.4 ad art. 63 OJ p. 525). Ces faits sont des faits dirimants ( rechtshindernde Tatsachen ), dont le fardeau de la preuve ( Beweislast ) incombe à la partie adverse du titulaire du droit (arrêt 4A_639/2016 du 1 er septembre 2017 consid. 6.1 et les arrêts cités); il n'est pas nécessaire que le défendeur soulève formellement une exception ( Einrede ) (ERNST A. KRAMER, Berner Kommentar, 1991, n° 316 ad art. 19-20 CO ). Le tribunal n'a donc pas à rechercher d'office ces faits (KRAMER, op. cit., n° 317 ad art. 19-20 CO ). La formule selon laquelle "la nullité peut être invoquée en tout temps devant toute autorité et doit être constatée d'office" ne s'applique pas dans le domaine des contrats et de leur résiliation lorsque la maxime des débats est applicable (cf. arrêt 4A_577/2010 du 21 mars 2011 consid. 4.2 et 4.3; pour la nullité absolue d'une décision administrative, cf. ATF 138 II 501 consid. 3.1; avec des réserves, pour la nullité d'une décision en matière d'arbitrage, cf. l'arrêt 4A_407/2017 du 20 novembre 2017 consid. 2.2.2). Il découle de ces principes qu'en première instance, le locataire (ou le fermier) doit contester avoir reçu la notification de la formule officielle que le bailleur allègue lui avoir adressée; à défaut, le bailleur demandeur n'a pas à en apporter la preuve en produisant une copie de dite formule (art. 150 al. 1 in fine CPC). Tant en appel que dans le recours en matière civile, le tribunal applique le droit d'office ( art. 57 CPC , respectivement art. 106 al. 1 LTF ), sur la base des faits allégués et prouvés.</w:t>
      </w:r>
    </w:p>
    <w:p>
      <w:r>
        <w:rPr>
          <w:b/>
        </w:rPr>
        <w:t>E. 4</w:t>
      </w:r>
    </w:p>
    <w:p>
      <w:r>
        <w:t>En l'espèce, la question de la nullité pour défaut de notification de la formule officielle de résiliation est une question de droit, que le Tribunal fédéral examine d'office ( art. 106 al. 1 LTF ), mais uniquement sur la base des faits allégués, puisque la maxime des débats ( art. 55 al. 1 CPC ) est applicable dans la procédure de l' art. 257 CPC , et prouvés. Il a été retenu que le bailleur a allégué que, par courriers recommandés du 27 juillet 2016 adressés aux fermiers, il a résilié le bail pour BGE 144 III 462 S. 468 le 31 août 2016, en indiquant que la formule officielle destinée à chaque locataire était jointe à ses envois. Il a produit des copies desdits courriers en procédure, mais pas les copies des formules officielles. Les fermiers, qui au demeurant étaient assistés d'un avocat, n'ont pas contesté avoir reçu la formule officielle, ni par écrit, ni par oral lors de l'audience de première instance. Ils y ont uniquement invoqué que le cas n'était pas clair parce que les pièces versées à la procédure n'établissaient pas la créance du bailleur. D'ailleurs, en appel, alors que le bailleur avait réitéré dans son exposé des faits qu'il avait annexé la formule officielle aux courriers recommandés, les fermiers intimés ont formellement admis ce fait. Dans leur réponse au présent recours, les fermiers se bornent à affirmer que "peu importe qu'[ils] aient contesté ou non les faits puisque la procédure de protection dans les cas clairs requiert que le juge se prononce sur la base des pièces produites en sa possession". Force est ainsi de constater que non seulement les fermiers n'ont pas allégué le défaut de notification de la formule officielle (fait dirimant), mais qu'ils n'ont pas contesté, ni en première instance, ni en procédure d'appel, l'allégué du demandeur selon lequel il avait joint la formule officielle à chacun de ses courriers recommandés de résiliation. La maxime des débats étant applicable à la procédure de protection dans les cas clairs, ce fait non contesté est ainsi un fait prouvé. C'est donc à raison que le bailleur recourant soutient que la notification de la formule litigieuse est un fait non litigieux et donc que la première condition de l' art. 257 al. 1 let. a CPC est à cet égard réalisée. Lorsque la cour cantonale considère que la formule officielle de résiliation aurait dû être produite par le bailleur à l'appui de sa requête en expulsion - pour qu'elle puisse examiner la question de la nullité de la résiliation -, elle méconnaît que la procédure de protection dans les cas clairs est soumise à la maxime des débats et que, faute de contestation de la notification de la formule officielle par les défendeurs, celle-ci est censée prouvée. Lorsque les fermiers intimés font valoir devant le Tribunal fédéral que "peu importe qu'[ils] aient contesté ou non les faits puisque la procédure de protection dans les cas clairs requiert que le juge se prononce sur la base des pièces produites en sa possession", ils méconnaissent également les principes découlant de la maxime des débats et confondent celle-ci avec la BGE 144 III 462 S. 469 règle régissant les moyens de preuve généralement admissibles en procédure sommaire ( art. 254 al. 1 CPC ). Il s'ensuit que le recours doit être admis et l'arrêt attaqué annulé. Faute de toute décision de la cour cantonale sur le bien-fondé de la créance réclamée par le bailleur et faute de toute constatation de l'arrêt cantonal à ce sujet ( art. 105 al. 1 LTF ), la cause doit être renvoyée à la cour cantonale pour examen de ce seul point, contesté par les fermiers en première instance. Il est donc superflu d'examiner les autres griefs du recourant ( art. 151, 55 et 56 CPC en relation avec l' art. 317 CPC ). Quant aux intimés, ils se sont pour l'essentiel limités à contester les griefs du recourant et le sort de leur grief en relation avec l' art. 257 CPC a été scellé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