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425</w:t>
      </w:r>
    </w:p>
    <w:p>
      <w:r>
        <w:t>Bundesgericht (BGE), 2018-06-21, DE</w:t>
      </w:r>
    </w:p>
    <w:p>
      <w:r>
        <w:rPr>
          <w:b/>
        </w:rPr>
        <w:t xml:space="preserve">Quelle: </w:t>
      </w:r>
      <w:r>
        <w:t>https://mcp.opencaselaw.ch/entscheid/bge_BGE_144_III_425</w:t>
      </w:r>
    </w:p>
    <w:p>
      <w:r>
        <w:t>FR: ATF 144 III 425</w:t>
      </w:r>
    </w:p>
    <w:p>
      <w:r>
        <w:t>IT: DTF 144 III 425</w:t>
      </w:r>
    </w:p>
    <w:p>
      <w:pPr>
        <w:pStyle w:val="Heading2"/>
      </w:pPr>
      <w:r>
        <w:t>Regeste</w:t>
      </w:r>
    </w:p>
    <w:p>
      <w:r>
        <w:t>Regeste GebV SchKG; Gebühr für die Eintragung des Betreibungsbegehrens. Für die Eintragung des Betreibungsbegehrens, welches vor Ausfertigung des Zahlungsbefehls zurückgezogen wird, gilt die Gebühr gemäss Art. 16 Abs. 4 GebV SchKG unabhängig davon, dass der Betreibungsgläubiger die Verjährung einer Forderung unterbrechen will (E. 2).</w:t>
      </w:r>
    </w:p>
    <w:p>
      <w:r>
        <w:t>Regeste OELP; émolument pour l'enregistrement de la réquisition de poursuite. Pour l'enregistrement d'une réquisition de poursuite retirée avant l'établissement du commandement de payer, l'émolument doit être calculé conformément à l'art. 16 al. 4 OELP, indépendamment du fait que le créancier poursuivant entend interrompre la prescription d'une créance (consid. 2).</w:t>
      </w:r>
    </w:p>
    <w:p>
      <w:r>
        <w:t>Regesto OTLEF; tassa per la registrazione della domanda d'esecuzione. Per la registrazione della domanda d'esecuzione revocata prima della stesura del precetto esecutivo vale la tassa prevista all'art. 16 cpv. 4 OTLEF, indipendentemente dal fatto che il creditore procedente voglia interrompere la prescrizione di un credito (consid. 2).</w:t>
      </w:r>
    </w:p>
    <w:p>
      <w:pPr>
        <w:pStyle w:val="Heading2"/>
      </w:pPr>
      <w:r>
        <w:t>Erwägungen</w:t>
      </w:r>
    </w:p>
    <w:p>
      <w:r>
        <w:rPr>
          <w:b/>
        </w:rPr>
        <w:t>E. 2</w:t>
      </w:r>
    </w:p>
    <w:p>
      <w:r>
        <w:t>Anlass der Beschwerde bilden die betreibungsamtlichen Kosten für eine sogenannte "stille Betreibung".</w:t>
      </w:r>
    </w:p>
    <w:p>
      <w:r>
        <w:rPr>
          <w:b/>
        </w:rPr>
        <w:t>E. 2.1</w:t>
      </w:r>
    </w:p>
    <w:p>
      <w:r>
        <w:t>Von einer stillen Betreibung wird gesprochen, wenn der Gläubiger ein Betreibungsbegehren einreicht, welches er vor Ausstellung des Zahlungsbefehls durch das Betreibungsamt bereits wieder zurückzieht (HUNKELER/WUFFLI, Verjährungsunterbrechung durch "stille Betreibung"?, Jusletter 11. September 2017 Rz. 1). Der Eingang des Betreibungsbegehrens ist dem Gläubiger auf Verlangen gebührenfrei zu bescheinigen ( Art. 67 Abs. 3 SchKG ; Formular Nr. 2). Hingegen informiert es den Schuldner nicht über das Betreibungsbegehren, ebenso wenig erhalten Dritte, die ein Einsichtsrecht in das Betreibungsregister geltend machen können, Kenntnis von der Betreibung ( Art. 8a Abs. 3 lit. c SchKG ). Mit diesem Vorgehen strebt der Gläubiger in der Regel die Unterbrechung der Verjährung seiner Forderung an. Unter welchen Voraussetzungen einer Schuldbetreibung verjährungsunterbrechende Wirkung zukommen kann, ist eine BGE 144 III 425 S. 427 materiellrechtliche Frage und daher vom Gericht zu beantworten ( Art. 135 Ziff. 2 OR ). Die Vorinstanz hat diese Frage zwar angesprochen, indes in ihrer Funktion als Aufsichtsbehörde zu Recht nicht beantwortet. Das Betreibungsamt ist zur Durchführung des Vollstreckungsverfahrens zuständig und wird durch die Aufsichtsbehörde überwacht (STOFFEL/CHABLOZ, Voies d'exécution, 3. Aufl. 2016, § 2 Rz. 61, 66). Insoweit kann die Antwort des Betreibungsamtes an den Gläubiger, dass seinem "Betreibungsbegehren zur Verjährungsunterbrechung mit gleichzeitigem Rückzug" Folge gegeben worden sei, keine verbindliche Aussage zur verjährungsunterbrechenden Wirkung der Schuldbetreibung treffen.</w:t>
      </w:r>
    </w:p>
    <w:p>
      <w:r>
        <w:rPr>
          <w:b/>
        </w:rPr>
        <w:t>E. 2.2</w:t>
      </w:r>
    </w:p>
    <w:p>
      <w:r>
        <w:t>Im konkreten Fall teilte das Betreibungsamt dem Gläubiger nach Erhalt des Betreibungsbegehrens mit, dass dieses im Betreibungsregister zu späteren Beweiszwecken (Eingangskontrolle, Ablauf Verjährungsfrist) unter der Betreibungs-Nr. x erfasst worden sei. Mit gleichem Datum sei antragsgemäss der Rückzug des Betreibungsbegehrens unter der entsprechenden Betreibungsnummer vermerkt worden, so dass die Betreibung für Dritte nicht im Schuldnerregister ersichtlich sei. Die Rückzugserklärung bewirke, dass die Aus- und Zustellung des Zahlungsbefehls unterbleibe. Die Kostenrechnung richte sich nach Art. 4 ff. der Gebührenverordnung vom 23. September 1996 zum Bundesgesetz über Schuldbetreibung und Konkurs (GebV SchKG; SR 281.35) und enthalte folgende Gebühren und Auslagen: - Erfassen Betreibungsbegehren ( Art. 4 Abs. 2 GebV SchKG ) Fr. 40.-; - Bestätigung Eingang/Rückzug Begehren ( Art. 9 GebV SchKG ) Fr. 16.-; - Porto LSI Fr. 5.30; - Gesamt Fr. 61.30. Die untere kantonale Aufsichtsbehörde reduzierte die Kostenrechnung auf Beschwerde des Gläubigers hin wie folgt: - Eintragung Betreibungsbegehren ( Art. 16 Abs. 4 GebV SchKG ) Fr. 5.-; - Eintragung des Rückzugs ( Art. 42 GebV SchKG ) Fr. 5.-; - Schreiben vom 14.3.2017, 1 Seite ( Art. 9 Abs. 1 lit. a GebV SchKG ) Fr. 8.-; - Porto Fr. 5.30; - Rechnungsbetrag total Fr. 23.30. BGE 144 III 425 S. 428 Vor der oberen kantonalen Aufsichtsbehörde blieb einzig die Gebühr für das Erfassen des Betreibungsbegehrens strittig, für welche das Betreibungsamt nach wie vor Fr. 40.- statt nur Fr. 5.- verlangte. Gegen die Berechnung der anderen Positionen setzte sich der Gläubiger nicht mehr zur Wehr. Die Vorinstanz schützte die vom Bezirksgericht neu berechnete Kostenverfügung und wies die Beschwerde des Betreibungsamtes ab.</w:t>
      </w:r>
    </w:p>
    <w:p>
      <w:r>
        <w:rPr>
          <w:b/>
        </w:rPr>
        <w:t>E. 2.3</w:t>
      </w:r>
    </w:p>
    <w:p>
      <w:r>
        <w:t>Das beschwerdeführende Betreibungsamt vertritt nach wie vor die Auffassung, dass es sich bei der Erfassung des Betreibungsbegehrens um einen Vorgang handelt, für den die anfallende Gebühr nach Zeitaufwand zu berechnen ist.</w:t>
      </w:r>
    </w:p>
    <w:p>
      <w:r>
        <w:rPr>
          <w:b/>
        </w:rPr>
        <w:t>E. 2.3.1</w:t>
      </w:r>
    </w:p>
    <w:p>
      <w:r>
        <w:t>In diesem Zusammenhang wirft das Betreibungsamt der Vorinstanz vor, den massgeblichen Sachverhalt nicht von Amtes wegen festgestellt zu haben. Es beruft sich dabei auf Art. 20a Abs. 2 Ziff. 2 SchKG , ohne allerdings darzutun, inwiefern über den Beizug der vorhandenen Akten hinaus weitere Abklärungen seitens der Vorinstanz notwendig gewesen wären. Zudem wird kritisiert, die Vorinstanz habe den Sachverhalt hinsichtlich der entscheidwesentlichen Vorgänge auf dem Betreibungsamt offensichtlich unrichtig festgestellt und damit Art. 97 Abs. 1 BGG verletzt. In der Tat hat die Vorinstanz zwischen den einzelnen Schritten bei der Bearbeitung des Betreibungsbegehrens nicht unterschieden. Sie hat sich damit begnügt, auf das Schreiben des Betreibungsamtes vom 14. März 2017 zu verweisen, wonach der Gläubiger das Betreibungsbegehren samt Rückzug eingereicht und auf die Aus- und Zustellung des Zahlungsbefehls verzichtet hat. Im angefochtenen Entscheid wird die Schilderung des Betreibungsamtes betreffend den Eintrag des Betreibungsbegehrens in das Eingangsregister und alsdann in das Betreibungsbuch aufgenommen, indes nicht zur Grundlage der Entscheidfindung erhoben; damit erweisen sich die Vorbringen des Beschwerdeführers nicht als neu. Was das Betreibungsamt als unrichtige Feststellung des Sachverhaltes rügt, läuft im Wesentlichen auf eine Rüge der unrichtigen Anwendung des Rechts bzw. der GebV SchKG hinaus.</w:t>
      </w:r>
    </w:p>
    <w:p>
      <w:r>
        <w:rPr>
          <w:b/>
        </w:rPr>
        <w:t>E. 2.3.2</w:t>
      </w:r>
    </w:p>
    <w:p>
      <w:r>
        <w:t>Für die Dokumentierung des konkreten Ablaufs gilt nach der Verordnung vom 5. Juni 1996 über die im Betreibungs- und Konkursverfahren zu verwendenden Formulare und Register sowie die Rechnungsführung (VFRR; SR 281.31) als erstes, dass das Betreibungsbegehren in der Reihenfolge und mit dem Datum des Eingangs mit fortlaufender Nummer in das Eingangsregister aufgenommen wird BGE 144 III 425 S. 429 ( Art. 9 Abs. 1 VFRR ), mit Hinweis auf die Nummer, unter der die Betreibung im Betreibungsbuch eingetragen ist ( Art. 9 Abs. 8 VFRR ). Im Betreibungsbuch werden sämtliche Betreibungen jeder Art in der Reihenfolge des Eingangs des Betreibungsbegehrens eingetragen; dabei sind insbesondere die Art der Betreibung, der Name des Gläubigers und des Schuldners, der Betrag der Forderung samt Zinsen sowie das Eingangsdatum des Betreibungsbegehrens zu vermerken ( Art. 10 VFRR ; vgl. GILLIÉRON, Commentaire de la loi fédérale sur la poursuite pour dettes et la faillite, Bd. I, 1999, N. 126 zu Art. 67 SchKG ). Diese Angaben dienen der Beweissicherung (vgl. Art. 8 Abs. 2 SchKG ) und bilden die Grundlage für die Ausstellung des Zahlungsbefehls ( Art. 69 SchKG ). Im konkreten Fall ergibt sich bereits aus dem Schreiben des Betreibungsamtes vom 14. März 2017, dass es in der erwähnten Weise vorgegangen ist: Das Betreibungsbegehren wurde erfasst, mit einer Nummer versehen und im Betreibungsbuch eingetragen. Auf die Ausstellung und Zustellung eines Zahlungsbefehls hat das Betreibungsamt auf Antrag des Gläubigers verzichtet. Dass es ein Aktenexemplar des Zahlungsbefehls erstellt hat, ist vorliegend nicht von Belang, zumal dieser Vorgang gebührenfrei erfolgt ( Art. 9 Abs. 2 GebV SchKG ). Es bleibt die weiter strittige Gebührenfolge der stillen Betreibung zu prüfen.</w:t>
      </w:r>
    </w:p>
    <w:p>
      <w:r>
        <w:rPr>
          <w:b/>
        </w:rPr>
        <w:t>E. 2.3.3</w:t>
      </w:r>
    </w:p>
    <w:p>
      <w:r>
        <w:t>Wer das Betreibungsamt in Anspruch nimmt, hat - ausdrückliche Ausnahmen vorbehalten - für die dadurch entstehenden Kosten aufzukommen ( BGE 142 III 648 E. 3.2; BGE 131 III 136 E. 3.1). Die anfallenden Gebühren und Auslagen werden in der GebV SchKG abschliessend geregelt ( BGE 136 III 155 E. 3.3). Darin findet sich im 1. Kapitel unter den "Allgemeinen Bestimmungen" ein Gebührenrahmen, der für die ganze Verordnung gilt. So sieht Art. 1 Abs. 2 GebV SchKG vor, dass für in diesem Erlass nicht besonders tarifierte Verrichtungen eine Gebühr von bis zu Fr. 150.- erhoben werden kann, welche von der Aufsichtsbehörde nach bestimmten Kriterien noch heraufgesetzt werden kann. Im 2. Kapital werden die Gebühren des Betreibungsamtes für die einzelnen Vorkehren festgelegt ( Art. 16-41 GebV SchKG ). Nimmt das Betreibungsamt eine in den genannten Bestimmungen nicht besonders tarifierte Eintragung vor, so beträgt die Gebühr Fr. 5.- ( Art. 42 GebV SchKG ). Als nicht besonders tarifierte Eintragung des Betreibungsamtes hat das Bundesgericht den Rückzug der Betreibung durch den Gläubiger eingeordnet. Aus welchen Beweggründen ein solcher Rückzug erfolgt, ist für die Kostenfolgen unerheblich, da nicht Aufgabe des Betreibungsamtes ist, hier BGE 144 III 425 S. 430 die Interessen des Schuldners oder des Gläubigers zu hinterfragen ( BGE 142 III 648 E. 3.5).</w:t>
      </w:r>
    </w:p>
    <w:p>
      <w:r>
        <w:rPr>
          <w:b/>
        </w:rPr>
        <w:t>E. 2.3.4</w:t>
      </w:r>
    </w:p>
    <w:p>
      <w:r>
        <w:t>Es ist unbestritten, dass das Betreibungsamt ein rechtskonformes Betreibungsbegehren ( Art. 67 SchKG ) entgegenzunehmen und zu bearbeiten hat (GILLIÉRON, a.a.O., N. 7 zu Vorbemerkungen zu Art. 67-68 SchKG ; vgl. JAEGER, in: Schuldbetreibung und Konkurs-Praxis, Bd. III, 1927, N. 1 zu Art. 67 SchKG ). Ebenso steht fest, dass der Gläubiger sein Betreibungsbegehren jederzeit zurückziehen darf (FRITZSCHE/WALDER, Schuldbetreibung und Konkurs, Bd. I, 1984, § 16 Rz. 18). Nichts anderes hat der Beschwerdegegner gemacht, wenn er mit dem Betreibungsbegehren vom 13. März 2017 den "anschliessenden Rückzug" erklärt hat. Da für die stille Betreibung typischerweise der Gläubiger auf die Ausstellung und Zustellung eines Zahlungsbefehls an den Schuldner verzichtet, entfallen die damit verbundenen Gebühren ( Art. 16 Abs. 1 und 3 GebV SchKG ) und Auslagen ( Art. 13 GebV SchKG ). Hingegen sind für die Bearbeitung des Betreibungsbegehrens die beim Betreibungsamt anfallenden Kosten geschuldet.</w:t>
      </w:r>
    </w:p>
    <w:p>
      <w:r>
        <w:rPr>
          <w:b/>
        </w:rPr>
        <w:t>E. 2.3.5</w:t>
      </w:r>
    </w:p>
    <w:p>
      <w:r>
        <w:t>Nach einer verbreiteten Lehre und kantonalen Praxis wird angenommen, dass für die stille Betreibung als vom SchKG nicht ausdrücklich vorgesehene Verrichtung die Gebühr von Fr. 5.- gemäss Art. 16 Abs. 4 GebV SchKG zu erheben sei, d.h. die Gebühr für die Eintragung eines vor Ausfertigung des Zahlungsbefehls zurückgezogenen Betreibungsbegehrens (HUNKELER/WUFFLI, a.a.O., Rz. 3; EMMEL, in: Basler Kommentar, Bundesgesetz über Schuldbetreibung und Konkurs, 2. Aufl. 2010, N. 6 zu Art. 16 SchKG ; STAEHELIN, in: Basler Kommentar, Bundesgesetz über Schuldbetreibung und Konkurs, Ergänzungsband [...], 2017, ad N. 48 zu Art. 67 SchKG ; KLAUS, Verjährungsunterbrechung durch Betreibung mit gleichzeitigem Rückzug, AJP 2017 S. 707 Fn. 1; ROTH, Angriff ist die beste Verteidigung, ZZZ 2014/2015 S. 36 Fn. 12; Urteil des Kreisgerichts St. Gallen [als Aufsichtsbehörde] vom 4. August 2016 E. 1f, in: BlSchK 2016 S. 248; Urteil [105 2017 67] des Kantonsgerichts Freiburg [als Aufsichtsbehörde] vom 26. Juli 2017 E. 2c; Urteil [105 2016 82] des Kantonsgerichts Freiburg [als Aufsichtsbehörde] vom 4. November 2016 E. 2c, in: Revue fribourgeoise de jurisprudence (RFJ) 2017 S. 88; Entscheid [ABS 16/306] des Obergerichts des Kantons Bern [Aufsichtsbehörde] vom 7. November 2016 E. 10.3.2; Wegleitung für den Bezug von Gebühren der Betreibungs- und Gemeinde-/Stadtammannämter BGE 144 III 425 S. 431 des Kantons Zürich, Stand: Januar 2018, N. 9 zu Art. 16 GebV SchKG ).</w:t>
      </w:r>
    </w:p>
    <w:p>
      <w:r>
        <w:rPr>
          <w:b/>
        </w:rPr>
        <w:t>E. 2.3.6</w:t>
      </w:r>
    </w:p>
    <w:p>
      <w:r>
        <w:t>Die Anwendung von Art. 16 Abs. 4 GebV SchKG mag vielleicht dem Umstand nicht gerecht werden, dass das Betreibungsamt das Betreibungsbegehren vor dem Rückzug in das Eingangsregister und das Betreibungsbuch einzutragen hatte; diese Eintragungen werden - abgesehen vom Rückzug - sowohl für die stille Betreibung wie auch für die Betreibung, die mit dem Erlass, der Ausfertigung, der Eintragung und der Zustellung des Zahlungsbefehls ihren Fortgang findet ( Art. 16 Abs. 1 GebV SchKG ), vorgenommen. Die geringe Höhe der Gebühr in Art. 16 Abs. 4 GebV SchKG kann in sozialen Überlegungen liegen, auf welchen der Gebührentarif des SchKG beruht ( BGE 108 III 68 E. 2 S. 69). Jedenfalls ist nicht ersichtlich, weshalb Art. 16 GebV SchKG bei einer stillen Betreibung nicht anwendbar sein sollte. Etwas anderes lässt sich aus der Gebührenregelung nicht ableiten. Insbesondere kann nicht auf Art. 1 Abs. 2 oder Art. 4 Abs. 2 GebV SchKG zurückgegriffen werden, wie das beschwerdeführende Amt meint, um den Eintrag nach Zeitaufwand in Rechnung zu stellen. Die genannten Bestimmungen betreffen Verrichtungen nicht tarifierter Natur bzw. Verrichtungen nach Zeit tarifierter Natur (ADAM, in: Kommentar Gebührenverordnung SchKG, 2008, N. 6 zu Art. 1, N. 1 zu Art. 4 GebV SchKG ). Weder das eine noch das andere trifft auf die in Art. 16 GebV SchKG geregelten Verrichtungen des Betreibungsamtes betreffend Zahlungsbefehl zu.</w:t>
      </w:r>
    </w:p>
    <w:p>
      <w:r>
        <w:rPr>
          <w:b/>
        </w:rPr>
        <w:t>E. 2.4</w:t>
      </w:r>
    </w:p>
    <w:p>
      <w:r>
        <w:t>Nach dem Gesagten ist der Anwendung von Art. 16 Abs. 4 GebV SchKG auf die stille Betreibung zuzustimmen. Dies gilt unabhängig von den Motiven, die den Gläubiger zur Einleitung und zum Rückzug veranlasst haben (a.M. PETER, Das Betreibungsbegehren und sein gleichzeitiger Rückzug, BlSchK 2016 S. 212). Der angefochtene Entscheid hält damit bezüglich der hier einzig strittigen Gebühr von Fr. 5.- für die Eintragung des vor Ausstellung des Zahlungsbefehls zurückgezogenen Betreibungsbegehrens im Ergebnis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