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77</w:t>
      </w:r>
    </w:p>
    <w:p>
      <w:r>
        <w:t>Bundesgericht (BGE), 2011-03-18, DE</w:t>
      </w:r>
    </w:p>
    <w:p>
      <w:r>
        <w:rPr>
          <w:b/>
        </w:rPr>
        <w:t xml:space="preserve">Quelle: </w:t>
      </w:r>
      <w:r>
        <w:t>https://mcp.opencaselaw.ch/entscheid/bge_BGE_143_V_77</w:t>
      </w:r>
    </w:p>
    <w:p>
      <w:r>
        <w:t>FR: ATF 143 V 77</w:t>
      </w:r>
    </w:p>
    <w:p>
      <w:r>
        <w:t>IT: DTF 143 V 77</w:t>
      </w:r>
    </w:p>
    <w:p>
      <w:pPr>
        <w:pStyle w:val="Heading2"/>
      </w:pPr>
      <w:r>
        <w:t>Regeste</w:t>
      </w:r>
    </w:p>
    <w:p>
      <w:r>
        <w:t>Regeste Art. 14 in Verbindung mit Art. 8 EMRK; lit. a Abs. 1 der Schlussbestimmungen der Änderung vom 18. März 2011 des IVG (6. IV-Revision, erstes Massnahmenpaket); Art. 28a IVG; gemischte Methode der Invaliditätsbemessung. Im Rahmen einer Anspruchsüberprüfung nach den Schlussbestimmungen der 6. IV-Revision, erstes Massnahmenpaket, hat ein rein familiär bedingter Statuswechsel, auch wenn er nicht den Anlass für die Einleitung des Verfahrens zur Rentenüberprüfung bildete, unberücksichtigt zu bleiben, so dass der von der versicherten Person bisher innegehabte Status für die Invaliditätsbemessung beizubehalten ist (E. 3.2.3).</w:t>
      </w:r>
    </w:p>
    <w:p>
      <w:r>
        <w:t>Regeste Art. 14 en relation avec l'art. 8 CEDH; let. a al. 1 des dispositions finales de la modification du 18 mars 2011 de la LAI (6 e révision de l'AI, premier volet); art. 28a LAI; méthode mixte d'évaluation de l'invalidité. Dans le cadre d'un examen du droit à la rente selon les dispositions finales de la 6 e révision de l'AI, premier volet, un changement de statut pour des raisons purement familiales, même s'il ne constitue pas le motif pour lequel la procédure de réexamen de la rente avait été initiée, ne doit pas être pris en considération, de sorte que le statut que la personne assurée avait jusque-là pour l'évaluation de l'invalidité doit être maintenu (consid. 3.2.3).</w:t>
      </w:r>
    </w:p>
    <w:p>
      <w:r>
        <w:t>Regesto Art. 14 in relazione all'art. 8 CEDU; lett. a cpv. 1 delle disposizioni finali della modifica del 18 marzo 2011 della LAI (6 a revisione AI, primo pacchetto di misure); art. 28a LAI; metodo misto di valutazione dell'invalidità. Nell'ambito dell'esame del diritto secondo le disposizioni finali della 6 a revisione dell'AI, primo pacchetto, non è rilevante un cambiamento dello statuto della persona assicurata solo per motivi di natura familiare, anche se non costituisce la causa per la quale la procedura di revisione della rendita ha avuto inizio, di modo che lo statuto che la persona assicurata aveva fino al momento della valutazione dell'invalidità deve essere mantenuto (consid. 3.2.3).</w:t>
      </w:r>
    </w:p>
    <w:p>
      <w:pPr>
        <w:pStyle w:val="Heading2"/>
      </w:pPr>
      <w:r>
        <w:t>Erwägungen</w:t>
      </w:r>
    </w:p>
    <w:p>
      <w:r>
        <w:rPr>
          <w:b/>
        </w:rPr>
        <w:t>E. 3.1</w:t>
      </w:r>
    </w:p>
    <w:p>
      <w:r>
        <w:t>Im Rahmen des von ihr Mitte Oktober 2012 nach den Schlussbestimmungen der Änderung vom 18. März 2011 des IVG (6. IV-Revision, erstes Massnahmenpaket) eingeleiteten Revisionsverfahrens ging die IV-Stelle neu davon aus, dass die Versicherte, da sie im Juni 2009 Mutter von Zwillingen geworden war, nicht mehr als Vollerwerbstätige, sondern als Teilerwerbstätige mit einem Aufgabenbereich zu qualifizieren sei. Dementsprechend nahm die Verwaltung die Invaliditätsbemessung neu statt mittels eines Einkommensvergleichs ( Art. 28a Abs. 1 IVG in Verbindung mit Art. 16 ATSG ) nach der gemischten Methode ( Art. 28a Abs. 3 IVG ) vor, welche bei gleichzeitiger Berücksichtigung eines verbesserten Gesundheitszustandes (vgl. dazu nicht publ. E. 4) einen rentenausschliessenden Invaliditätsgrad ergab. Dies führte zur Aufhebung der bisher ausgerichteten ganzen Invalidenrente mit Wirkung auf Ende Dezember 2014 (Verfügung vom 17. November 2014).</w:t>
      </w:r>
    </w:p>
    <w:p>
      <w:r>
        <w:rPr>
          <w:b/>
        </w:rPr>
        <w:t>E. 3.2</w:t>
      </w:r>
    </w:p>
    <w:p>
      <w:r>
        <w:t>Zu prüfen ist, ob sich diese von der Vorinstanz bestätigte Rentenaufhebung mit dem inzwischen ergangenen Urteil des Europäischen Gerichtshofs für Menschenrechte (EGMR) Di Trizio gegen Schweiz vom 2. Februar 2016 (7186/09), welches am 4. Juli 2016 endgültig geworden ist, vereinbaren lässt. BGE 143 V 77 S. 80</w:t>
      </w:r>
    </w:p>
    <w:p>
      <w:r>
        <w:rPr>
          <w:b/>
        </w:rPr>
        <w:t>E. 3.2.1</w:t>
      </w:r>
    </w:p>
    <w:p>
      <w:r>
        <w:t>Dem EGMR-Urteil vom 2. Februar 2016 lag der Fall einer Versicherten zugrunde, welche unter dem Status einer Vollerwerbstätigen eine Invalidenrente beanspruchen konnte, und diesen Anspruch allein aufgrund des Umstandes verlor, dass sie wegen der Geburt ihrer Kinder und der damit einhergehenden Reduktion des Erwerbspensums für die Invaliditätsbemessung neu als Teilerwerbstätige mit einem Aufgabenbereich qualifiziert wurde. Der EGMR betrachtete es als Verletzung von Art. 14 (Diskriminierungsverbot) in Verbindung mit Art. 8 EMRK (Recht auf Achtung des Familienlebens), dass die sich aus dem Statuswechsel ergebende Änderung in den Grundlagen der Invaliditätsbemessung - anstelle des auf Vollerwerbstätige anwendbaren Einkommensvergleichs ( Art. 28a Abs. 1 IVG in Verbindung mit Art. 16 ATSG ) gelangte nun die gemischte Methode ( Art. 28a Abs. 3 IVG ) zur Anwendung - zur Aufhebung der Invalidenrente führte und sich damit zu Ungunsten der Versicherten auswirkte.</w:t>
      </w:r>
    </w:p>
    <w:p>
      <w:r>
        <w:rPr>
          <w:b/>
        </w:rPr>
        <w:t>E. 3.2.2</w:t>
      </w:r>
    </w:p>
    <w:p>
      <w:r>
        <w:t>In BGE 143 I 50 E. 4.1 und 4.2 S. 58 f. (ergangen zur Umsetzung des EGMR-Urteils vom 2. Februar 2016) sowie BGE 143 I 60 E. 3.3.4 S. 64 entschied das Bundesgericht, dass zwecks Herstellung eines konventionskonformen Zustandes in derartigen Konstellationen, in welchen allein familiäre Gründe (die Geburt von Kindern und die damit einhergehende Reduktion des Erwerbspensums) für einen Statuswechsel von "vollerwerbstätig" zu "teilerwerbstätig mit Aufgabenbereich" sprechen, fortan auf die (alleine darauf beruhende) revisionsweise Aufhebung oder Herabsetzung der Invalidenrente im Sinne von Art. 17 Abs. 1 ATSG zu verzichten ist (vgl. auch IV-Rundschreiben Nr. 355 des BSV vom 31. Oktober 2016).</w:t>
      </w:r>
    </w:p>
    <w:p>
      <w:r>
        <w:rPr>
          <w:b/>
        </w:rPr>
        <w:t>E. 3.2.3</w:t>
      </w:r>
    </w:p>
    <w:p>
      <w:r>
        <w:t>Der hier zu beurteilende Sachverhalt unterscheidet sich von den in E. 3.2.2 genannten Fällen dadurch, dass die IV-Stelle nicht den Statuswechsel der Beschwerdeführerin zum Anlass für die Überprüfung der Rente nahm, sondern sich bei der Einleitung des Verfahrens auf andere Gründe - die Anspruchsüberprüfung nach den Schlussbestimmungen der 6. IV-Revision, erstes Massnahmenpaket - stützte (E. 3.1 hiervor). Unter dem Gesichtspunkt der EMRK-Konformität der Invaliditätsbemessung vermag dies allerdings keine unterschiedliche Behandlung zu rechtfertigen. Auch wenn der rein familiär bedingte Statuswechsel nicht den Anlass für die Einleitung des Verfahrens zur Rentenüberprüfung bildete, hat er im Rahmen desselben unberücksichtigt zu bleiben, so dass der von der versicherten Person bisher innegehabte Status für die Invaliditätsbemessung beizubehalten ist. BGE 143 V 77 S. 81</w:t>
      </w:r>
    </w:p>
    <w:p>
      <w:r>
        <w:rPr>
          <w:b/>
        </w:rPr>
        <w:t>E. 3.2.4</w:t>
      </w:r>
    </w:p>
    <w:p>
      <w:r>
        <w:t>Damit ergibt sich, dass die Beschwerdeführerin - ungeachtet des Umstandes, dass sie im Juni 2009 Mutter geworden ist - auch im Rahmen des Rentenüberprüfungsverfahrens, das die IV-Stelle Mitte Oktober 2012 aus anderen Gründen als dem Statuswechsel eingeleitet hat, wie bis anhin als Vollerwerbstätige gilt.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