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21</w:t>
      </w:r>
    </w:p>
    <w:p>
      <w:r>
        <w:rPr>
          <w:i/>
        </w:rPr>
        <w:t>Bundesgericht (BGE)</w:t>
      </w:r>
      <w:r>
        <w:rPr>
          <w:i/>
        </w:rPr>
        <w:t xml:space="preserve">  ·  2016-11-17</w:t>
      </w:r>
      <w:r>
        <w:rPr>
          <w:i/>
        </w:rPr>
        <w:t xml:space="preserve">  ·  DE</w:t>
      </w:r>
    </w:p>
    <w:p>
      <w:r>
        <w:rPr>
          <w:b/>
        </w:rPr>
        <w:t xml:space="preserve">Source: </w:t>
      </w:r>
      <w:r>
        <w:t>https://mcp.opencaselaw.ch/entscheid/bge_BGE_143_I_21</w:t>
      </w:r>
    </w:p>
    <w:p>
      <w:r>
        <w:t>FR: ATF 143 I 21 · IT: DTF 143 I 21</w:t>
      </w:r>
    </w:p>
    <w:p>
      <w:pPr>
        <w:pStyle w:val="Heading2"/>
      </w:pPr>
      <w:r>
        <w:t>Regeste</w:t>
      </w:r>
    </w:p>
    <w:p>
      <w:r>
        <w:t>Regeste Art. 8 EMRK; Art. 3, 9 und 18 KRK; Art. 13 Abs. 1 in Verbindung mit Art. 36 BV; Art. 50 Abs. 1 lit. b AuG; Art. 273 Abs. 1, 298a Abs. 1 und 2, 301 Abs. 1 bis , 301a ZGB; ausländerrechtlicher Familiennachzug unter dem neuen zivilrechtlichen Sorge- und Betreuungsrecht. Beim nachehelichen Härtefall im Sinne von Art. 50 Abs. 1 lit. b AuG stehen die Interessen der gemeinsamen Kinder der Eheleute, deren Beziehung gescheitert ist, im Vordergrund und nicht jene von Kindern aus einer den Behörden verschwiegenen Parallelbeziehung (E. 4). Anspruch auf Schutz des Familienlebens bei umgekehrtem Familiennachzug: Interessenabwägung in Bezug auf eine Mutter, welche die Kinder mehrheitlich betreut und über das gemeinsame Sorgerecht mit dem Vater verfügt, dem ein gefestigtes Anwesenheitsrecht zusteht (E. 5). Im konkreten Fall wird der Nachzug verweigert, da der Vater lediglich einen "besuchsrechtsähnlichen" Umgang mit den Kindern pflegt (keine alternierende Obhut), er seinen finanziellen Pflichten diesen gegenüber nicht in einer Weise nachgekommen ist, dass von einer Kompensation der Geld- durch eine entsprechende Naturalleistung gesprochen werden könnte, die Mutter ihrerseits ohne absehbare Aussichten auf Besserung auf Sozialhilfeleistungen angewiesen ist und die Migrationsbehörden im Zusammenhang mit ihrem Aufenthalt getäuscht wurden (E. 6).</w:t>
      </w:r>
    </w:p>
    <w:p>
      <w:r>
        <w:t>Regeste Art. 8 CEDH; art. 3, 9 et 18 CDE; art. 13 al. 1 en relation avec l'art. 36 Cst.; art. 50 al. 1 let. b LEtr; art. 273 al. 1, 298a al. 1 et 2, 301 al. 1 bis , 301a CC; regroupement familial en droit des étrangers et nouvelles dispositions du code civil relatives à l'autorité parentale conjointe et à la prise en charge. Dans les cas de rigueur après dissolution de la famille au sens de l'art. 50 al. 1 let. b LEtr, seuls les intérêts des enfants communs des conjoints dont la relation a échoué doivent être mis au premier plan et non pas ceux des enfants issus d'une relation parallèle cachée aux autorités (consid. 4). Droit à la protection de la vie de famille en cas de regroupement familial inversé: pesée des intérêts s'agissant d'une mère qui assure pour la plus grande partie la prise en charge des enfants et dispose de l'autorité parentale conjointe avec le père qui bénéfice d'un droit de séjour durable (consid. 5). En l'espèce, le regroupement est refusé parce que le père n'entretient des relations avec ses enfants que dans une mesure "analogue à un droit de visite " (sans aucune garde alternée), qu'il n'a pas donné suite à ses obligations financières à leur endroit de manière que l'on puisse dire que les prestations pécuniaires ont été compensées par des prestations en nature et que la mère, pour sa part, sans perspective d'amélioration de sa situation dans un proche avenir, dépend de l'assistance sociale et a trompé les autorités du droit des étrangers sur les circonstances de son séjour (consid. 6).</w:t>
      </w:r>
    </w:p>
    <w:p>
      <w:r>
        <w:t>Regesto Art. 8 CEDU; art. 3, 9 e 18 CDF; art. 13 cpv. 1 in relazione con l'art. 36 Cost.; art. 50 cpv. 1 lett. b LStr; art. 273 cpv. 1, 298a cpv. 1 e 2, 301 cpv. 1 bis , 301a CC; ricongiungimento familiare in diritto degli stranieri e nuove disposizioni del Codice civile concernenti l'autorità parentale congiunta e la cura dei figli. Nei casi di rigore in seguito allo scioglimento della comunità familiare ai sensi dell'art. 50 cpv. 1 lett. b LStr, solo gli interessi dei figli comuni dei coniugi la cui relazione è naufragata devono essere posti in primo piano, non quelli dei figli nati da una parallela relazione sottaciuta alle autorità (consid. 4). Diritto alla protezione della vita familiare in caso di ricongiungimento familiare alla rovescia: ponderazione degli interessi trattandosi di una madre che provvede maggiormente alla cura dei figli e fruisce dell'autorità parentale congiunta con il padre al beneficio di un diritto di soggiorno durevole (consid. 5). Nel caso concreto il ricongiungimento familiare è stato negato dal momento che il padre intrattiene delle relazioni con i figli solo "in maniera analoga a un diritto di visita" (senza custodia alternata), che non ha dato seguito ai suoi obblighi finanziari nei loro confronti in una maniera che si possa ritenere che le prestazioni finanziarie siano state compensate con prestazioni in natura e che la madre, per quanto la concerne, senza prospettive di miglioramento della propria situazione a breve scadenza, è a carico dell'assistenza sociale e ha ingannato le autorità di diritto degli stranieri sulle circostanze del proprio soggiorno (consid. 6).</w:t>
      </w:r>
    </w:p>
    <w:p>
      <w:pPr>
        <w:pStyle w:val="Heading2"/>
      </w:pPr>
      <w:r>
        <w:t>Erwägungen</w:t>
      </w:r>
    </w:p>
    <w:p>
      <w:r>
        <w:rPr>
          <w:b/>
        </w:rPr>
        <w:t>E. 4.1</w:t>
      </w:r>
    </w:p>
    <w:p>
      <w:r>
        <w:t>Der Fortbestand der elterlichen Beziehung zum hier gefestigt anwesenheitsberechtigten Kind kann einen wichtigen Grund zum Verbleib im Land bilden (Art. 50 Abs. 1 lit. b AuG [SR 142.20], Art. 13 Abs. 1 BV und Art. 8 EMRK ; vgl. BGE 140 II 289 E. 3.4.1 S. 292; BGE 138 II 229 E. 3.1); dabei ist jeweils die Gesamtsituation zu würdigen und das Gesetzesrecht möglichst verfassungs- ( Art. 13 Abs. 1 BV ) bzw. konventionskonform anzuwenden (Urteil 2C_1125/2014 BGE 143 I 21 S. 25 vom 9. September 2015 E. 4.1 mit Hinweisen). Der Anspruch aus Art. 50 Abs. 1 lit. b AuG geht im Rahmen seines Anwendungsbereichs grundsätzlich nicht weniger weit als jener aus Art. 13 Abs. 1 BV bzw. Art. 8 EMRK (Urteile 2C_173/2011 vom 24. Juni 2011 E. 4; 2C_930/2012 vom 10. Januar 2013 E. 4.1; siehe auch NATHALIE CHRISTEN, Le développement du regroupement familial inversé par la jurisprudence suisse et européenne, in: Migrations et regroupement familial, Amarelle/Christen/Nguyen [Hrsg.], 2012, S. 71 ff.).</w:t>
      </w:r>
    </w:p>
    <w:p>
      <w:r>
        <w:rPr>
          <w:b/>
        </w:rPr>
        <w:t>E. 4.2.1</w:t>
      </w:r>
    </w:p>
    <w:p>
      <w:r>
        <w:t>Die Regelung von Art. 50 Abs. 1 lit. b AuG, welche nach Auflösung der Familiengemeinschaft dem ausreisepflichtigen Gatten bzw. den Kindern bei wichtigen persönlichen Gründen einen Anspruch auf die Erteilung einer Aufenthaltsbewilligung gewährt, kommt im vorliegenden Fall nicht zum Tragen: Wie sich aus der systematischen Einordnung der Bestimmung im Kapitel über den ehelichen Familiennachzug (Art. 42 ff. AuG) ergibt und der Wortlaut von Absatz 1 sowie die Botschaft vom 8. März 2002 zum Ausländergesetz (BBl 2002 3709, 3754 Ziff. 1.3.7.6) bestätigen, sind damit grundsätzlich und in erster Linie die gemeinsamen Kinder der Eheleute gemeint, deren Beziehung gescheitert ist (Urteil 2C_830/2010 vom 10. Juni 2011 E. 3.1.3). Der Anspruch nach Art. 50 Abs. 1 lit. b AuG kann zwar sämtliche Aspekte, welche mit dem Familiennachzug und der späteren Auflösung der Beziehung in einem minimalen Sachzusammenhang stehen, erfassen und eine gewisse Gesamtsicht der Interessen und der familiären Strukturen gebieten. Im vorliegenden Fall wurden die Kinder ausserehelich in einer Parallelbeziehung mit einer Drittperson gezeugt. Da sie trotz der ursprünglich geltenden Vaterschaftsvermutung keinerlei Beziehung zum (sozialen) Vater und Ehemann der Beschwerdeführerin 1 aufgebaut haben, fallen sie nicht unter den Begriff der "gemeinsamen Kinder", welcher ohne weitere Gründe (eheliche Gewalt, stark gefährdete soziale Wiedereingliederung usw.) eine Anwesenheit der geschiedenen Gattin und der Kinder "erforderlich" machen bzw. rechtfertigen könnte (Art. 50 Abs. 1 lit. b i.V.m. Abs. 2 AuG).</w:t>
      </w:r>
    </w:p>
    <w:p>
      <w:r>
        <w:rPr>
          <w:b/>
        </w:rPr>
        <w:t>E. 4.2.2</w:t>
      </w:r>
    </w:p>
    <w:p>
      <w:r>
        <w:t>Wenn das Bundesgericht davon ausgegangen ist, dass für den nachehelichen Härtefall aufgrund der gesamten Umstände jeweils eine erhebliche Intensität der Konsequenzen für das Privat- und Familienleben erforderlich sein muss und diese in einem Bezug zur Lebenssituation nach dem Dahinfallen der gestützt auf Art. 42 Abs. 1 bzw. Art. 43 Abs. 1 AuG abgeleiteten Anwesenheitsberechtigung zu BGE 143 I 21 S. 26 stehen hat, kann dies - entgegen der Auffassung der Beschwerdeführer - nicht so verstanden werden, dass das notwendigerweise generell und auch für den Fall von missbräuchlich aufrechterhaltenen, inhaltsleeren Ehen gilt, bei denen im Rahmen einer Parallelbeziehung aussereheliche Kinder gezeugt wurden (vgl. Art. 51 Abs. 2 lit. a AuG). Hiervon ist zumindest auszugehen, wenn - wie hier - keinerlei gefühlsmässige oder anderweitige (allenfalls wirtschaftliche) Verbindung zwischen dem Registervater und den Kindern besteht oder bestanden hat.</w:t>
      </w:r>
    </w:p>
    <w:p>
      <w:r>
        <w:rPr>
          <w:b/>
        </w:rPr>
        <w:t>E. 5</w:t>
      </w:r>
    </w:p>
    <w:p>
      <w:r>
        <w:t>Der angefochtene Entscheid verletzt gestützt auf den für das Bundesgericht verbindlich festgestellten Sachverhalt - d.h. ohne Berücksichtigung der unzulässigen und nur punktuell nachträglich belegten neuen Vorbringen - auch weder Art. 13 Abs. 1 in Verbindung mit Art. 36 BV noch Art. 8 EMRK :</w:t>
      </w:r>
    </w:p>
    <w:p>
      <w:r>
        <w:rPr>
          <w:b/>
        </w:rPr>
        <w:t>E. 5.1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Urteil des EGMR El Ghatet gegen Schweiz vom 8. November 2016 [Nr. 56971/10] § 53; BGE 142 II 35 E. 6.1 S. 47; BGE 139 I 330 E. 2.2 S. 336; BGE 135 I 143 E. 2.1 S. 147; BGE 122 II 1 E. 2 S. 6; BGE 116 Ib 353 E. 3 S. 357 ff.). Das Recht nach Art. 8 Ziff. 1 EMRK gilt - auch in seiner verfahrensrechtlichen Tragweite (vgl. hierzu Urteil des EGMR El Ghatet gegen Schweiz , § 47 mit Hinweisen; GRABENWARTER/PABEL, BGE 143 I 21 S. 27 Europäische Menschenrechtskonvention, 6. Aufl. 2016, § 22 N. 64 ff.; JENS MEYER-LADEWIG, EMRK, Europäische Menschenrechtskonvention, Handkommentar, 3. Aufl. 2011, N. 47 zu Art. 8 EMRK ) - als verletzt, wenn keine umfassende, faire Interessenabwägung erfolgt (Urteil des EGMR El Ghatet gegen Schweiz , § 42 und 47), obwohl die intakten, engen persönlichen und familiären Beziehungen der Familienmitglieder nicht problemlos andernorts gelebt werden können (vgl. Urteile 2C_697/2008 vom 2. Juni 2009 E. 4.1 mit Hinweisen und 2C_914/2014 vom 18. Mai 2015 E. 4.3 mit Hinweisen).</w:t>
      </w:r>
    </w:p>
    <w:p>
      <w:r>
        <w:rPr>
          <w:b/>
        </w:rPr>
        <w:t>E. 5.2</w:t>
      </w:r>
    </w:p>
    <w:p>
      <w:r>
        <w:t>Das Verfassungs- (Art. 13 Abs. 1 i.V.m. Art. 36 Abs. 3 BV )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 BGE 135 I 153 E. 2.2.1, BGE 135 I 143 E. 2.1; BGE 122 II 1 E. 2 S. 6; BGE 116 Ib 353 E. 3 S. 357 ff.; Urteil 2C_1142/2012 vom 14. März 2013 E. 3.4).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 BGE 142 II 35 E. 6.1 und 6.2 S. 46 ff.; BGE 140 I 145 E. 3.2 S. 148; BGE 139 I 315 E. 2.2 S. 319 ff.; Urteil 2C_1140/2015 vom 7. Juni 2016 E. 2.2.3). Geht es darum, dass der Sorge- und Obhutsberechtigte mit den Kindern im Land verbleiben will, um deren Weiterführung der Beziehung zum hier gefestigt anwesenheitsberechtigten Elternteil zu erleichtern, ist die Rechtsprechung tendenziell restriktiver; in dieser Situation soll die Bewilligung nur bei besonderen Umständen erteilt werden ( BGE 137 I 247 E. 4.2.2 S. 251 mit Hinweisen; ZÜND/HUGI YAR, Aufenthaltsbeendende Massnahmen im schweizerischen Ausländerrecht, insbesondere unter dem Aspekt des Privat- und Familienlebens, EuGRZ 2013 S. 1 ff., dort N. 47).</w:t>
      </w:r>
    </w:p>
    <w:p>
      <w:r>
        <w:rPr>
          <w:b/>
        </w:rPr>
        <w:t>E. 5.3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BGE 143 I 21 S. 28 verbundenen Betreuungsanteilen ( Art. 273 Abs. 1 ZGB ["Besuchsrecht"]). Hierfür ist nicht unbedingt erforderlich, dass er sich dauerhaft im selben Land aufhält wie das Kind und dort über ein Anwesenheitsrecht verfügt (vgl. zivilrechtlich etwa die Urteile 5A_781/2015 vom 14. März 2016 E. 3.2.3 und 5A_310/2013 vom 18. Juni 2013 E. 4.2).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139 I 315 E. 2.2 S. 319; Urteil 2C_497/2014 vom 26. Oktober 2015 E. 5.2; vgl. zu den zivilrechtlichen Anforderungen BGE 142 III 481 E. 2.8 S. 495 ff. bezüglich der Konnexität der Zulässigkeit des Wegzugs ins Ausland und des Betreuungsrechts bzw. des persönlichen Verkehrs des in der Schweiz verbleibenden anderen Elternteils im Rahmen von Art. 301a Abs. 5 ZGB ). Hinsichtlich der Verlagerung des Aufenthaltsorts des Kindes ins Ausland im Sinn von Art. 301a Abs. 2 lit. a ZGB hat das Bundesgericht festgehalten, dass für die Beurteilung des Kindeswohls immer die konkreten Umstände des Einzelfalls massgebend sein müssen, indessen dem wegzugswilligen (bzw. ausländerrechtlich wegzugspflichtigen) Elternteil, welcher die Kinder bislang überwiegend betreut hat und dies auch in Zukunft tun wird, die Verlegung des Aufenthaltsorts mit den Kindern ins Ausland in der Regel nicht verweigert werden kann ( BGE 142 III 481 E. 2.7 S. 492 ff.).</w:t>
      </w:r>
    </w:p>
    <w:p>
      <w:r>
        <w:rPr>
          <w:b/>
        </w:rPr>
        <w:t>E. 5.4</w:t>
      </w:r>
    </w:p>
    <w:p>
      <w:r>
        <w:t>Minderjährige haben grundsätzlich dem Inhaber der elterlichen Sorge und der faktischen Obhut (im Sinne einer überwiegenden Betreuung) zu folgen; das ausländische unmündige Kind teilt schon aus familienrechtlichen Gründen (Art. 25 Abs. 1 und Art. 301 Abs. 3 sowie heute Art. 301a ZGB ; BGE 133 III 305 E. 3.3 S. 306 ff.) regelmässig das ausländerrechtliche Schicksal des sorge-/betreuungsberechtigten Elternteils; es hat das Land gegebenenfalls mit diesem zu verlassen, wenn er über keine Aufenthaltsberechtigung (mehr) verfügt ( BGE 139 II 393 E. 4.2.3 S. 400; Urteile 2C_359/2014 vom 1. Dezember 2014 E. 5.4 und 2C_326/2013 vom 20. November 2013 E. 4.3). Für Kinder im anpassungsfähigen Alter ist der Umzug in ein anderes Land bzw. die Heimat zusammen mit der Inhaberin oder dem Inhaber der elterlichen Sorge bzw. dem Hauptbetreuungsanteil BGE 143 I 21 S. 29 (faktische Obhut: vgl. BGE 142 III 612 E. 4.1 S. 614) zumutbar, zumal wenn sie mit dessen Kultur durch Sprachkenntnisse, gelegentliche Ferienaufenthalte und einer entsprechenden Kulturvermittlung seitens der Eltern vertraut sind ( BGE 122 II 289 E. 3c S. 298; Urteile 2C_1228/2012 vom 20. Juni 2013 E. 6.1 mit Hinweisen; 2C_930/2012 vom 10. Januar 2013 E. 4.4.4; 2C_260/2012 vom 28. August 2012 E. 4.2.2; 5D_171/2009 vom 1. Juni 2010 E. 2, nicht publ. in BGE 136 III 353 ). Ausländerrechtlich sind grundsätzlich die zivilrechtlichen Verhältnisse massgebend, wie sie zum Zeitpunkt des Entscheids der Migrationsbehörden bzw. der Vorinstanz des Bundesgerichts bestehen und tatsächlich gelebt werden (Urteil 2C_1031/ 2011 vom 22. März 2012 E. 4.1.4 mit Hinweisen); allfällige spätere zivilrechtliche Anpassungen des Sorge- bzw. Betreuungsrechts (vgl. Art. 298d ZGB ) sind bewilligungsrechtlich allenfalls wiedererwägungsweise bzw. im Rahmen eines neuen Verfahrens geltend zu machen und zu prüfen.</w:t>
      </w:r>
    </w:p>
    <w:p>
      <w:r>
        <w:rPr>
          <w:b/>
        </w:rPr>
        <w:t>E. 5.5.1</w:t>
      </w:r>
    </w:p>
    <w:p>
      <w:r>
        <w:t>Bei der Interessenabwägung ist dem Kindeswohl und dem grundlegenden Bedürfnis des Kindes - als einem (wesentlichen) Element unter anderen - Rechnung zu tragen, in möglichst engem Kontakt mit beiden Elternteilen aufwachsen zu können (Urteil des EGMR El Ghatet gegen Schweiz , §§ 27, 28 und 46: "...must place the best interests of the child at the heart of their considerations and attach crucial weight to it"; GRABENWARTER/PABEL, a.a.O., § 22 N. 46 mit Hinweisen auf die Rechtsprechung; vgl. hierzu auch BGE 142 III 481 E. 2.3-2.6 mit Hinweisen).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(vgl. hierzu: STEFANIE SCHMAHL, Kinderrechtskonvention mit Zusatzprotokollen, Handkommentar, 2013, N. 9 zu Art. 9 KRK mit weiteren Hinweisen). Gemäss Art. 18 KRK bemühen sich die Vertragsstaaten zudem nach besten Kräften darum, den Grundsatz sicherzustellen, dass beide Elternteile gemeinsam für die Erziehung und Entwicklung des Kindes verantwortlich sind; hieraus lässt sich zwar keine Verpflichtung ableiten, im nationalen Recht ein gemeinsames Sorgerecht für getrennt lebende Elternteile oder die Möglichkeit einer alternierenden Betreuung vorzusehen BGE 143 I 21 S. 30 ( BGE 142 III 617 E. 3.2.3 mit Hinweisen), doch ist der entsprechende Aspekt jeweils auslegungsweise bzw. bei der ausländerrechtlichen Interessenabwägung dennoch mitzuberücksichtigen (SCHMAHL, a.a.O., N. 2 zu Art. 18 KRK ).</w:t>
      </w:r>
    </w:p>
    <w:p>
      <w:r>
        <w:rPr>
          <w:b/>
        </w:rPr>
        <w:t>E. 5.5.2</w:t>
      </w:r>
    </w:p>
    <w:p>
      <w:r>
        <w:t>Der schweizerische Gesetzgeber hat - wie auch die Vorinstanz in ihrem Entscheid eingehend darlegt - dem Anliegen von Art. 18 KRK zivilrechtlich im Bundesgesetz vom 21. Juni 2013 zu einer Änderung des Schweizerischen Zivilgesetzbuchs und der darin als Regel vorgesehenen gemeinsamen elterlichen Sorge sowie den Möglichkeiten verschiedener Betreuungsformen seitens der Eltern (von der ausschliesslichen Betreuung [faktische Obhut] durch einen einzelnen Elternteil bis zur hälftigen alternierenden Betreuung usw.) Rechnung getragen ( Art. 296 ff. ZGB ; vgl. AS 2014 357 ff.; Botschaft vom 16. November 2011, BBl 2011 9077 ff.; vgl. HILDEGUND SÜNDERHAUF-KRAVETS, Alternierende Obhut in der Schweiz, in: Achte Schweizer Familienrecht§Tage, Büchler/Schwenzer [Hrsg.], 2016, S. 33 ff.; GLOOR/SCHWEIGHAUSER, Die Reform des Rechts der elterlichen Sorge - eine Würdigung aus praktischer Sicht, FamPra.ch 2014 S. 1 ff.; SÜNDERHAUF/WIDRIG, Gemeinsame elterliche Sorge und alternierende Obhut, AJP 2014 S. 885 ff.; MARTIN WIDRIG, Alternierende Obhut - Leitprinzip des Unterhaltsrechts aus grundrechtlicher Sicht, AJP 2013 S. 903 ff.). Die Regelung entspricht dem Leitgedanken von Art. 3 KRK bzw. Art. 11 Abs. 1 BV , wonach das Kindsinteresse bei allen Entscheiden vorrangig berücksichtigt werden soll, was ausländerrechtlich im Rahmen der Interessenabwägung von Art. 8 Ziff. 2 EMRK bzw. Art. 13 Abs. 1 in Verbindung mit Art. 36 Abs. 3 BV zu geschehen hat, da die Kinderrechtskonvention und der Anspruch auf Schutz der Kinder und Jugendlichen ( Art. 11 BV ) praxisgemäss keine über die Garantien von Art. 8 EMRK bzw. Art. 13 Abs. 1 BV hinausgehenden eigenständigen Bewilligungsansprüche verschaffen (vgl. Urteile 2C_648/2014 vom 6. Juli 2015 E. 2 und 3; 2C_728/2014 vom 3. Juni 2015 E. 3; 2C_851/2014 vom 24. April 2015 E. 4; 2C_828/2012 vom 26. März 2013 E. 2.3.2; BGE 140 I 145 ff.; BGE 139 I 315 ff.).</w:t>
      </w:r>
    </w:p>
    <w:p>
      <w:r>
        <w:rPr>
          <w:b/>
        </w:rPr>
        <w:t>E. 5.5.3</w:t>
      </w:r>
    </w:p>
    <w:p>
      <w:r>
        <w:t>In seiner zivilrechtlichen Rechtsprechung hat das Bundesgericht zur alternierenden Obhut jüngst ausgeführt, dass das "Kindeswohl als oberste Maxime des Kindesrechts ( BGE 141 III 328 E. 5.4 S. 340)" zu gelten hat; "es ist für die Regelung des Eltern-Kind- Verhältnisses [...] immer der entscheidende Faktor, während die Interessen und Wünsche der Eltern in den Hintergrund zu treten BGE 143 I 21 S. 31 haben ( BGE 131 III 209 E. 5 S. 212)" (so BGE 142 III 612 E. 4.2 S. 614). Die alternierende Obhut als Betreuungslösung muss aller Voraussicht nach dem Wohl des Kindes entsprechen, was bedingt, dass die Eltern fähig und bereit sind, in den Kinderbelangen miteinander zu kommunizieren und zu kooperieren. Während die alternierende Obhut in jedem Fall die Erziehungsfähigkeit beider Eltern voraussetzt, sind die weiteren Beurteilungskriterien (geographische Situation, Betreuungsstabilität für das Kind, Zugehörigkeit zu einem eigenen sozialen Umfeld usw.) oft voneinander abhängig und je nach den konkreten Umständen des Einzelfalls von unterschiedlicher Bedeutung ( BGE 142 III 612 E. 4.3 S. 615, BGE 142 III 617 E. 3.2.3 S. 620 ff.).</w:t>
      </w:r>
    </w:p>
    <w:p>
      <w:r>
        <w:rPr>
          <w:b/>
        </w:rPr>
        <w:t>E. 5.5.4</w:t>
      </w:r>
    </w:p>
    <w:p>
      <w:r>
        <w:t>Zwar handelt es sich beim Kindeswohl - wie bereits dargelegt (oben E. 5.5.1) - ausländerrechtlich nach wie vor nur um ein zu berücksichtigendes Element unter anderen (öffentliche Sicherheit und Ordnung, Durchsetzen einer restriktiven Einwanderungspolitik usw.; vgl. BGE 139 I 315 E. 2.4 S. 321; Urteile 2C_997/2015 vom 30. Juni 2016 E. 4.2; 2C_497/2014 vom 26. Oktober 2015 E. 5.1 mit Hinweisen), doch ist es - insbesondere auch im Hinblick auf die zivilrechtlichen Neuerungen und der erforderlichen Koordination der aufenthaltsrechtlichen Aspekte mit diesen (vgl. Urteil des EGMR Polidario gegen Schweiz vom 30. Juli 2013 [Nr. 33169/10] §§ 63 ff.) - im Rahmen der Interessenabwägung seitens der nationalen und europäischen Instanzen (EGMR) von zusehends grundlegenderer Bedeutung (vgl. Urteil des EGMR El Ghatet gegen Schweiz , § 46 mit Hinweisen; Urteil 2C_997/ 2015 vom 30. Juni 2016 E. 4.3; zu den Kriterien, nach denen das Kindeswohl zivilrechtlich zu prüfen ist: BGE 142 III 481 E. 2.7 S. 492 ff.). Die zuständige Behörde hat Art und Umfang der faktischen Ausübung der Kontakte zwischen den Eltern und dem Kind - im Rahmen entsprechender Beweisanträge und unter Vorbehalt der Mitwirkungspflichten der Beteiligten (vgl. Art. 90 AuG) - deshalb mit geeigneten Mitteln im ausländerrechtlichen Verwaltungsverfahren sorgfältig abzuklären, soweit die Frage zivilrechtlich nicht bereits entschieden ist; dabei sind die (zivilrechtlich) tatsächlich gelebten Vorgaben zur Zeit des letzten kantonalen richterlichen Entscheids über die Bewilligungsfrage massgebend (Urteile 2C_123/ 2015 vom 30. September 2015 E. 2.3; 2C_2/2015 vom 13. August 2015 E. 2.3; 2C_414/2014 vom 12. März 2015 E. 3.4; 2C_728/2014 vom 3. Juni 2015 E. 2.2 und 3.3). Es besteht in der Regel indessen kein Grund, das ausländerrechtliche Bewilligungsverfahren bis zur definitiven Klärung der Nebenfolgen im BGE 143 I 21 S. 32 Scheidungsverfahren zu sistieren (Urteil 2C_123/2015 vom 30. September 2015 E. 2.7). Die per 1. Juli 2014 in Kraft getretenen zivilrechtlichen Bestimmungen sehen im Scheidungsfall die gemeinsame elterliche Sorge als Regel vor ( Art. 133 ZGB ); massgeblich für das ausländerrechtliche Bewilligungsverfahren bleibt jedoch - wie bisher - jeweils der Umfang des persönlichen Kontakts, d.h. die tatsächlich gelebte Beziehung in affektiver wie wirtschaftlicher Hinsicht, und nicht allein die formelle Tragweite der Zuteilung bzw. der Abmachungen der Eltern in Bezug auf das Sorge- bzw. das Betreuungsrecht (vgl. Urteile 2C_123/2015 vom 30. September 2015 E. 2.8 und 2C_326/2013 vom 20. November 2013 E. 5.1).</w:t>
      </w:r>
    </w:p>
    <w:p>
      <w:r>
        <w:rPr>
          <w:b/>
        </w:rPr>
        <w:t>E. 6.1</w:t>
      </w:r>
    </w:p>
    <w:p>
      <w:r>
        <w:t>Die Vorinstanz ist in ihrem detailliert begründeten Entscheid davon ausgegangen, dass sich im vorliegenden Fall die nicht verheirateten Eltern die elterliche Sorge über die beiden Kinder C.A. und D.A. seit dem 20. Mai 2015 teilen (rechtliche Obhut); bezüglich der faktischen Obhut (vgl. Art. 301 Abs. 1 bis ZGB ), d.h. des konkreten Betreuungs- und Pflegeverhältnisses indessen ein grundlegender Unterschied bestehe: Die Mutter betreue die Kinder deutlich mehr als der Vater. Es sei deshalb von einer "gemeinsamen elterlichen Sorge ohne alternierende Obhut" auszugehen; die Mutter als hauptsächlich für die Betreuung der Kinder zuständiger Elternteil ersuche darum, ihre Bewilligung im (umgekehrten) Familiennachzug zu ihren Kindern aufrechterhalten zu können, damit der ebenfalls sorgeberechtigte andere Elternteil, der seinerseits über ein (gefestigtes) Anwesenheitsrecht verfügt, sein Sorge- und Kontaktrecht zu den Kindern (Recht auf persönlichen Verkehr, Betreuungsanteil usw.) wahrnehmen könne (vgl. oben E. 5.2 in fine). Hierfür sei eine wirtschaftlich und affektiv enge Bindung der Kinder zum nicht betreuenden sorgeberechtigten Elternteil erforderlich, zudem müsse sich der betreuende sorgeberechtigte Elternteil "tadellos" verhalten haben. Im vorliegenden Fall fehle es an der engen wirtschaftlichen Verbundenheit, da die Alimente des Vaters bevorschusst werden müssten; dass dieser die Kinder finanziell unterstütze und auch stets den Willen hierzu gehabt habe, reiche nicht aus, um das Vorliegen einer wirtschaftlich engen Beziehung zu begründen, wenn - wie hier - eine gerichtlich festgesetzte Unterhaltspflicht bestehe, die auf dem (hypothetisch erzielbaren) Einkommen des Vaters basiere, womit dem Aspekt der Zumutbarkeit für den Kindsvater bereits Rechnung getragen worden sei. Es bestehe daher weder gestützt auf Art. 13 Abs. 1 BV BGE 143 I 21 S. 33 noch Art. 8 EMRK ein Anspruch auf die beantragten Bewilligungen.</w:t>
      </w:r>
    </w:p>
    <w:p>
      <w:r>
        <w:rPr>
          <w:b/>
        </w:rPr>
        <w:t>E. 6.2</w:t>
      </w:r>
    </w:p>
    <w:p>
      <w:r>
        <w:t>Die Beschwerdeführerin 1 macht geltend, sie sei sprachlich und beruflich hier integriert; die Sozialhilfeabhängigkeit, welche mit der Einwanderungssteuerung öffentliche Interessen an der Beendigung ihres Aufenthalts begründe, könne ihr nicht entgegengehalten werden, da sie sich um zwei Kleinkinder zu kümmern habe. Eine Rückkehr nach Nigeria, welches sie zuletzt im Jahr 2009 besucht habe, sei ihr nicht zumutbar. Die Kinder hielten sich unter der Woche im Kindergarten/Hort auf, wobei der Vater seine Beziehungen zu ihnen enger lebe, als die Vorinstanz angenommen habe. Es bestünden sehr intensive Beziehungen zu ihnen, auch schliefen die Kinder an verschiedenen Wochenenden bei ihm und beteilige er sich an Elterngesprächen. Die Feststellung, es liege lediglich eine "besuchsrechtsähnliche" Kontaktregelung vor, sei offensichtlich unhaltbar; es lasse sich nicht ernsthaft begründen, dass der mit der Aufenthaltsbeendigung verbundene Eingriff in Art. 8 Ziff. 1 EMRK durch ein herausragendes soziales Bedürfnis gerechtfertigt sei bzw. das abstrakte Interesse der Einwanderungskontrolle den mit der Bewilligungsverweigerung verbundenen Eingriff in den Schutz des Familienlebens rechtfertige. Mit Blick auf die bestehende Distanz zwischen Nigeria und der Schweiz könne die Beziehung zu den Kindern nicht sinnvoll besuchsweise gelebt werden; diese hätten ein Anrecht darauf, mit beiden Eltern in der Schweiz verbleiben zu können.</w:t>
      </w:r>
    </w:p>
    <w:p>
      <w:r>
        <w:rPr>
          <w:b/>
        </w:rPr>
        <w:t>E. 6.3.1</w:t>
      </w:r>
    </w:p>
    <w:p>
      <w:r>
        <w:t>Die entsprechenden Einwände überzeugen nicht: Die Beschwerdeführerin ist mit dem Kindsvater nicht verheiratet und dieser sieht seine Kinder nach eigenen Angaben (ohne Berücksichtigung der unzulässigen Noven [vgl. nicht publ. E. 2.2 in fine, 2.3.2 und 2.3.5]) ein- bis dreimal pro Woche während jeweils rund drei Stunden. Die Vorinstanz durfte gestützt hierauf davon ausgehen, dass es sich um einen Fall von gemeinsamer elterlicher Sorge handelt, in deren Rahmen der Vater zwar Beziehungen zu seinen Kindern unterhält, diese affektiven Kontakte aber nicht als so eng bezeichnet werden können, dass sie eine Anwesenheit von Mutter und Kindern, d.h. der ganzen natürlichen Familie, erforderlich machen würden. Aufgrund des verbindlich festgestellten Sachverhalts sind keine besonderen Gründe ersichtlich, welche es rechtfertigen würden, dass die Beschwerdeführer in der Schweiz verbleiben müssten, um den Anspruch des Vaters auf Umgang mit seinen Nachkommen bzw. seinen BGE 143 I 21 S. 34 beschränkten Betreuungsanteil diesen gegenüber einfacher leben zu können. Die Hauptbetreuung (Grossteil der faktischen Obhut) der Kinder wird von der Mutter sichergestellt; die Kinder haben deshalb das Land mit ihr zu verlassen. Trotz dem geteilten Sorgerecht, welches zivilrechtlich den Anspruch umfasst, über den Aufenthaltsort des Kindes zu befinden bzw. durch die zuständigen Behörden entscheiden zu lassen, kann der Vater potenziell den Umgang mit seinen Kindern in der gemeinsamen Heimat pflegen. Da er hier arbeitet, dürfte es ihm möglich sein, für die Kosten der erforderlichen Reisen aufzukommen bzw. den Kindern entsprechende Mittel zur Verfügung zu stellen, damit sie ihn in der Schweiz besuchen können; über die neuen Medien ist im Übrigen praktisch ein täglicher Kontakt per Internet möglich.</w:t>
      </w:r>
    </w:p>
    <w:p>
      <w:r>
        <w:rPr>
          <w:b/>
        </w:rPr>
        <w:t>E. 6.3.2</w:t>
      </w:r>
    </w:p>
    <w:p>
      <w:r>
        <w:t>Die Eltern planen, die Betreuung durch den Vater Schritt um Schritt im Sinne einer alternierenden Obhut auszubauen. Aufgrund der faktischen Verhältnisse kann zurzeit indessen nicht davon ausgegangen werden, dass eine solche bereits besteht bzw. diese im Kindesinteresse liegt. Wie dargelegt, handelt es sich bei den in diesem Zusammenhang neu eingereichten Unterlagen um unzulässige Noven, welche das Bundesgericht nicht berücksichtigen kann ( Art. 99 Abs. 1 BGG ). Sollte die Betreuung durch den Vater im Sinne einer alternierenden Obhut tatsächlich ein Mass erreichen bzw. erreicht haben, welches eine wesentliche Entlastung der Mutter als unmittelbare Betreuerin der Kinder zur Folge hätte, wäre dies allenfalls im Rahmen eines neuen Gesuchs gestützt auf Art. 13 Abs. 1 BV bzw. Art. 8 Ziff. 1 EMRK wiedererwägungsweise geltend zu machen, falls die neuen Elemente geeignet erscheinen, zu einem anderen Ausgang der Interessenabwägung zu führen und die öffentlichen hinter die privaten Interessen zurücktreten zu lassen.</w:t>
      </w:r>
    </w:p>
    <w:p>
      <w:r>
        <w:rPr>
          <w:b/>
        </w:rPr>
        <w:t>E. 6.3.3</w:t>
      </w:r>
    </w:p>
    <w:p>
      <w:r>
        <w:t>Zwar hat sich die ausreisepflichtige Mutter weitergebildet und sich inzwischen offenbar auf dem zweiten Arbeitsmarkt auch bewährt, nachdem sie zuvor unter häufigem Wechsel des Arbeitsplatzes verschiedenen Tätigkeiten nachgegangen war bzw. bis zur Aussteuerung von den Leistungen der Arbeitslosenversicherung gelebt hat, doch ändert dies nichts an der Einschätzung des Verwaltungsgerichts, dass sie beruflich wenig integriert erscheint: Seit dem 13. August 2013 sind sie und ihre Kinder teilweise und seit dem 1. November 2013 vollständig auf Sozialhilfeleistungen angewiesen, ohne dass eine unmittelbar bevorstehende Besserung glaubhaft gemacht oder absehbar wäre. BGE 143 I 21 S. 35</w:t>
      </w:r>
    </w:p>
    <w:p>
      <w:r>
        <w:rPr>
          <w:b/>
        </w:rPr>
        <w:t>E. 6.3.4</w:t>
      </w:r>
    </w:p>
    <w:p>
      <w:r>
        <w:t>Selbst wenn die Mutter sich um zwei Kleinkinder zu kümmern hatte, wobei diese aber zum Teil offenbar auch fremd betreut wurden bzw. werden (Kinderhort bzw. Kindergarten), überwiegt das öffentliche Interesse, die Sozialhilfeleistungen (vgl. Art. 62 lit. e und 63 Abs. 1 lit. c AuG) zu beschränken und die Einwanderung steuern zu können (vgl. BGE 137 I 247 E. 4.1.2 S. 249; BGE 135 I 143 E. 2.2 S. 147 und Art. 121a BV [Steuerung der Zuwanderung]), derzeit das private Interesse der Beschwerdeführer, im Land verbleiben zu dürfen. Letztlich belegen die finanziellen Verhältnisse der Beschwerdeführerin 1, dass der Vater ihrer Kinder sich zum Zeitpunkt des angefochtenen Entscheids im Wesentlichen nur punktuell an deren affektiven und wirtschaftlichen Betreuung beteiligt hat und von einer besuchsrechtsähnlichen Situation auszugehen war. Dass der Vater die Kinder ab und zu in den Hort bzw. in den Kindergarten begleiten oder dort abholen soll, bildet keine wesentliche eigenständige Betreuungsleistung; dasselbe gilt für die punktuelle Beteiligung an Elterngesprächen. Dass die Beschwerdeführerin 1 hier nicht straffällig geworden ist und sich auch betreibungsrechtlich offenbar nichts hat zuschulden kommen lassen, kann ihr im Rahmen der Anforderung an ein "tadelloses" Verhalten für den umgekehrten Familiennachzug zugutegehalten werden; immerhin darf ein entsprechendes Verhalten erwartet werden. Ausserdem ist darauf hinzuweisen, dass die Beschwerdeführerin 1 die Migrationsbehörden im Zusammenhang mit ihrem Aufenthalt getäuscht hat, was nicht (mehr) bestritten ist (vgl. nicht publ. E. 3).</w:t>
      </w:r>
    </w:p>
    <w:p>
      <w:r>
        <w:rPr>
          <w:b/>
        </w:rPr>
        <w:t>E. 6.3.5</w:t>
      </w:r>
    </w:p>
    <w:p>
      <w:r>
        <w:t>Auch Naturalleistungen können als wirtschaftlich relevant gelten; aus dem angefochtenen Entscheid ergibt sich indessen, dass die Unterhaltsbeiträge für C.A. seit dem 1. September 2012 und jene für D.A. seit 1. Februar 2014 von der Alimentenstelle Zürich im Umfang von Fr. 13'000.- bevorschusst werden mussten; dabei zahlte der Kindsvater von den bis 1. März 2015 geschuldeten Unterhaltsbeiträgen von Fr. 17'100.- lediglich deren Fr. 2'600.- zurück. Obwohl er sich bemüht, seinen finanziellen Verpflichtungen nachzukommen und guten Willen zu zeigen, reicht dies bei einer Gesamtwürdigung der wirtschaftlichen Situation nicht, um von einer engen Bindung bzw. einer wesentlichen Kompensation der Geld- durch entsprechende Naturalleistungen sprechen zu können. Der Kindsvater verdiente von Februar bis April 2015 monatlich rund Fr. 3'151.- (netto) und will die monatlichen Alimente von Fr. 600.- soweit möglich zurückzahlen, indessen kann aufgrund seiner BGE 143 I 21 S. 36 Einkommenssituation während dreier Monate nicht bereits darauf geschlossen werden, dass ein entsprechender Verdienst hierfür längerfristig sichergestellt erscheint.</w:t>
      </w:r>
    </w:p>
    <w:p>
      <w:r>
        <w:rPr>
          <w:b/>
        </w:rPr>
        <w:t>E. 6.3.6</w:t>
      </w:r>
    </w:p>
    <w:p>
      <w:r>
        <w:t>Die aufenthaltsbeendende Massnahme ist entgegen den Vorbringen der Beschwerdeführer schliesslich auch nicht unverhältnismässig: Die Beschwerdeführerin 1 ist in Nigeria sozialisiert worden. Sie reiste erst als Erwachsene im Alter von 30 Jahren in die Schweiz ein, wo sie lediglich während anderthalb Jahren mit einem Schweizer Bürger zusammenlebte und im Übrigen eine Beziehung zu einem Landsmann unterhielt. Zwar behauptet sie, keine Bindungen mehr zu ihrer Heimat zu haben, doch scheint dies eher unwahrscheinlich, nachdem ihre Schwestern noch dort wohnen und ihr Bruder ebenfalls in Nigeria lebt. Die Kinder befinden sich mit vier bzw. zweieinhalb Jahren noch in einem anpassungsfähigen Alter, sodass es ihnen ohne Weiteres zugemutet werden kann, ihrer sorgeberechtigten Mutter, welche ihre Betreuung hauptsächlich wahrnimmt, in die gemeinsame Heimat zu folgen. Ergänzend kann darauf hingewiesen werden, dass der Kindsvater ebenfalls aus Nigeria stammt, womit die Familie allenfalls auch dort zusammengeführt werden könnte. Sollten die Eltern beschliessen, die Kinder in der Schweiz unter der faktischen Obhut bzw. Betreuung ihres Vaters zu belassen, kann die Kindsmutter unter entsprechender Anpassung ihres Rechts auf persönlichen Verkehr die Beziehung zu den Kindern besuchsweise bzw. über die neuen Kommunikationsmittel grenzüberschreitend aufrechterhalten.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