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175</w:t>
      </w:r>
    </w:p>
    <w:p>
      <w:r>
        <w:t>Bundesgericht (BGE), 2017-02-14, FR</w:t>
      </w:r>
    </w:p>
    <w:p>
      <w:r>
        <w:rPr>
          <w:b/>
        </w:rPr>
        <w:t xml:space="preserve">Quelle: </w:t>
      </w:r>
      <w:r>
        <w:t>https://mcp.opencaselaw.ch/entscheid/bge_BGE_143_IV_175</w:t>
      </w:r>
    </w:p>
    <w:p>
      <w:r>
        <w:t>FR: ATF 143 IV 175</w:t>
      </w:r>
    </w:p>
    <w:p>
      <w:r>
        <w:t>IT: DTF 143 IV 175</w:t>
      </w:r>
    </w:p>
    <w:p>
      <w:pPr>
        <w:pStyle w:val="Heading2"/>
      </w:pPr>
      <w:r>
        <w:t>Regeste</w:t>
      </w:r>
    </w:p>
    <w:p>
      <w:r>
        <w:t>Regeste Art. 329 Abs. 2 und 393 Abs. 1 lit. b StPO; Zulässigkeit der Beschwerde gegen den Sistierungsentscheid des erstinstanzlichen Gerichts. Der vom erstinstanzlichen Gericht in Anwendung von Art. 329 Abs. 2 StPO ergangene Entscheid betreffend die Sistierung und die Rückweisung zur Ergänzung der Untersuchung ist ein verfahrensleitender Entscheid. Damit ist die Beschwerde nur beim Vorliegen eines nicht wieder gutzumachenden Nachteils zulässig (E. 2.2).</w:t>
      </w:r>
    </w:p>
    <w:p>
      <w:r>
        <w:t>Regeste Art. 329 al. 2 et 393 al. 1 let. b CPP; recevabilité du recours contre la décision de suspension rendue par le tribunal de première instance. Une décision de suspension et de renvoi pour complément d'instruction rendue par le tribunal de première instance en application de l'art. 329 al. 2 CPP est un prononcé relatif à l'avancement de la procédure et au déroulement de celle-ci. Par conséquent, un recours n'est ouvert à son encontre qu'en présence d'un préjudice irréparable (consid. 2.2).</w:t>
      </w:r>
    </w:p>
    <w:p>
      <w:r>
        <w:t>Regesto Art. 329 cpv. 2 e 393 cpv. 1 lett. b CPP; ammissibilità del reclamo contro la decisione di sospensione emanata dal tribunale di primo grado. Una decisione di sospensione e di rinvio per complemento d'istruzione emanata dal tribunale di primo grado in applicazione dell'art. 329 cpv. 2 CPP è una decisione ordinatoria. Di conseguenza, un reclamo contro la stessa è aperto soltanto in presenza di un pregiudizio irreparabile (consid. 2.2).</w:t>
      </w:r>
    </w:p>
    <w:p>
      <w:pPr>
        <w:pStyle w:val="Heading2"/>
      </w:pPr>
      <w:r>
        <w:t>Erwägungen</w:t>
      </w:r>
    </w:p>
    <w:p>
      <w:r>
        <w:rPr>
          <w:b/>
        </w:rPr>
        <w:t>E. 2</w:t>
      </w:r>
    </w:p>
    <w:p>
      <w:r>
        <w:t>Invoquant des violations des art. 329 al. 2, 355 al. 1 et 393 al. 1 let. b CPP, le Ministère public recourant soutient que la décision de suspension et de renvoi à l'instruction rendue par le tribunal de première instance serait sujette à recours, indépendamment de l'existence d'un préjudice irréparable.</w:t>
      </w:r>
    </w:p>
    <w:p>
      <w:r>
        <w:rPr>
          <w:b/>
        </w:rPr>
        <w:t>E. 2.1</w:t>
      </w:r>
    </w:p>
    <w:p>
      <w:r>
        <w:t>L' art. 329 al. 1 CPP prévoit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 art. 329 al. 2 CPP ). Le tribunal décide si une affaire suspendue reste pendante devant lui ( art. 329 al. 3 CPP ).</w:t>
      </w:r>
    </w:p>
    <w:p>
      <w:r>
        <w:rPr>
          <w:b/>
        </w:rPr>
        <w:t>E. 2.2</w:t>
      </w:r>
    </w:p>
    <w:p>
      <w:r>
        <w:t>Selon l' art. 393 al. 1 let. b CPP , le recours est recevable contre les ordonnances, les décisions et les actes de procédure des tribunaux de première instance, sauf contre ceux de la direction de la procédure ("ausgenommen sind verfahrensleitende Entscheide", "sono eccettuate le decisioni ordinatorie"). Cette disposition doit être lue en corrélation avec l' art. 65 al. 1 CPP , aux termes duquel les ordonnances rendues par les tribunaux ("Verfahrensleitende Anordnungen der Gerichte", "Le disposizioni ordinatorie del giudice") ne peuvent être attaquées qu'avec la décision finale. Les décisions contre lesquelles un recours immédiat est exclu en vertu des art. 65 al. 1 et 393 al. 1 let. b in fine CPP concernent non BGE 143 IV 175 S. 177 pas celles prises par la direction de la procédure, mais celles relatives à la marche de la procédure. Il s'agit en particulier de toutes les décisions qu'exigent l'avancement et le déroulement de la procédure avant ou pendant les débats ( ATF 140 IV 202 consid. 2.1 p. 204; ATF 138 IV 193 consid. 4.3.1 p. 195 s.). Cela étant,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 A l'inverse, si la décision peut causer un préjudice irréparable, elle est en principe attaquable par la voie du recours prévu par l' art. 393 CPP , puis par le recours en matière pénale (cf. art. 78 ss LTF ; ATF 140 IV 202 consid. 2.1 p. 204 s.).</w:t>
      </w:r>
    </w:p>
    <w:p>
      <w:r>
        <w:rPr>
          <w:b/>
        </w:rPr>
        <w:t>E. 2.3</w:t>
      </w:r>
    </w:p>
    <w:p>
      <w:r>
        <w:t>Selon la jurisprudence, la notion de préjudice irréparable au niveau cantonal est la même que celle qui prévaut en application de l' art. 93 al. 1 let. a LTF ( ATF 140 IV 202 consid. 2.1 p. 205; arrêt 1B_324/2016 du 12 septembre 2016 consid. 3.1 et les arrêts cités). En matière pénale, ce dommage se rapporte à un préjudice de nature juridique qui ne puisse pas être réparé ultérieurement par un jugement final ou une autre décision favorable au recourant ( ATF 141 IV 284 consid. 2.2 p. 287). Dans le cadre de l'examen de la recevabilité d'un recours en matière pénale ( art. 78 ss LTF ) contre des décisions cantonales confirmant la suspension et le renvoi en instruction ordonnés par un tribunal de première instance, le Tribunal fédéral a considéré que ce type de décisions ne causait en principe pas de préjudice irréparable ( art. 93 al. 1 let. a LTF ; arrêts 1B_304/2011 du 26 juillet 2011 consid. 1.2; 1B_240/2011 du 28 juin 2011 consid. 1.3). Cela étant, un prononcé de suspension de la procédure peut toutefois causer un tel dommage lorsque le justiciable se plaint, pour cette raison, d'un retard injustifié à statuer sur le fond constitutif d'un déni de justice formel ( ATF 138 IV 258 consid. 1.1 p. 261; ATF 134 IV 43 consid. 2.2-2.4 p. 45 ss); tel pourrait être par exemple le cas, s'agissant d'un prévenu ou d'une partie plaignante, lors d'un renvoi au ministère public pour des mesures d'instruction que le tribunal de première instance paraîtrait à même de mettre en oeuvre ( ATF 141 IV 39 consid. 1.6.2 p. 46 s.). Il faut toutefois que le grief fasse apparaître un BGE 143 IV 175 S. 178 risque sérieux de violation du principe de célérité ( ATF 138 III 190 consid. 6 p. 191 s.).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 art. 93 al. 1 let. a LTF ( ATF 134 IV 43 consid. 2.5 p. 47).</w:t>
      </w:r>
    </w:p>
    <w:p>
      <w:r>
        <w:rPr>
          <w:b/>
        </w:rPr>
        <w:t>E. 2.4</w:t>
      </w:r>
    </w:p>
    <w:p>
      <w:r>
        <w:t>En l'occurrence, le prononcé du tribunal de première instance à l'origine du présent litige constitue une décision relative à l'avancement de la procédure - qu'elle suspend - et au déroulement de celle-ci, puisqu'elle renvoie la cause au Ministère public. Un recours n'est donc ouvert à son encontre qu'en présence d'un préjudice irréparable (art. 393 al. 1 let. b in fine CPP; cf. également dans ce sens, NIKLAUS SCHMID, Schweizerische Strafprozessordnung [StPO], Praxiskommentar, 2 e éd. 2013, n° 12a ad art. 329 CPP et n° 13 ad art. 393 CPP ; NIKLAUS OBERHOLZER, Grundzüge des Strafprozessrechts, 3 e éd. 2012, n. 1596 p. 564; plus nuancés, ANDREAS J. KELLER, in Kommentar zur Schweizerischen Strafprozessordnung [StPO], Donatsch/Hansjakob/Lieber [éd.], 2 e éd. 2014, n° 28 ad art. 393 CPP ; PATRICK GUIDON, in Basler Kommentar, Schweizerische Strafprozessordnung, vol. II, 2 e éd. 2014, n os 12 et 13 ad art. 393 CPP ). Un tel dommage ne découle ni de la prolongation de la procédure ( ATF 137 III 522 consid. 1.3 p. 525; ATF 136 IV 92 consid. 4 p. 95), ni d'une éventuelle surcharge de travail pour le Procureur (arrêts 1B_577/2011 du 16 novembre 2011 consid. 2; 1B_240/2011 du 28 juin 2011 consid. 1.3). Sans autre démonstration, le dessaisissement décidé par le tribunal de première instance ( art. 329 al. 3 CPP ) ne cause pas non plus un préjudice irréparable au Ministère public recourant. Cette mesure permet au contraire de clarifier les prérogatives lui incombant à la suite du renvoi; il se trouve ainsi à nouveau chargé de la direction de la procédure ( art. 61 ss CPP ; MOREILLON/PAREIN-REYMOND, CPP, Code de procédure pénale, 2 e éd. 2016, n° 17 ad art. 329 CPP ) et peut, le cas échéant, rendre une nouvelle ordonnance pénale ou classer la procédure (YVONA GRIESSER, in Kommentar zur Schweizerischen Strafprozessordnung [StPO], Donatsch/Hansjakob/Lieber [éd.], 2 e éd. 2014, n° 26 ad art. 329 CPP ). Enfin, s'écartant de ses obligations en matière de motivation ( art. 42 al. 2 LTF ; ATF 141 IV 284 consid. 2.3 p. 287), le Ministère public ne développe aucune argumentation visant à démontrer quel serait son préjudice. Il se limite en effet à contester en substance BGE 143 IV 175 S. 179 l'opportunité du renvoi, ce qui relève tout au plus du fond. Il ne se prévaut en revanche ni d'une violation du principe de célérité, ni de formalisme excessif, ni de l'imminence de la prescription de l'action pénale.</w:t>
      </w:r>
    </w:p>
    <w:p>
      <w:r>
        <w:rPr>
          <w:b/>
        </w:rPr>
        <w:t>E. 2.5</w:t>
      </w:r>
    </w:p>
    <w:p>
      <w:r>
        <w:t>Partant, la cour cantonale n'a pas violé le droit fédéral en déclarant son recours irrecevable, faute de préjudice irréparable, et ce grief doit être écarté.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