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588</w:t>
      </w:r>
    </w:p>
    <w:p>
      <w:r>
        <w:t>Bundesgericht (BGE), 2017-01-01, DE</w:t>
      </w:r>
    </w:p>
    <w:p>
      <w:r>
        <w:rPr>
          <w:b/>
        </w:rPr>
        <w:t xml:space="preserve">Quelle: </w:t>
      </w:r>
      <w:r>
        <w:t>https://mcp.opencaselaw.ch/entscheid/bge_BGE_143_II_588</w:t>
      </w:r>
    </w:p>
    <w:p>
      <w:r>
        <w:t>FR: ATF 143 II 588</w:t>
      </w:r>
    </w:p>
    <w:p>
      <w:r>
        <w:t>IT: DTF 143 II 588</w:t>
      </w:r>
    </w:p>
    <w:p>
      <w:pPr>
        <w:pStyle w:val="Heading2"/>
      </w:pPr>
      <w:r>
        <w:t>Regeste</w:t>
      </w:r>
    </w:p>
    <w:p>
      <w:r>
        <w:t>Regeste a "Speziallandwirtschaftszone" für eine Ringkuhkampfarena und eine Markthalle der Oberwalliser Landwirtschaftskammer (Art. 16, 16a und 18 RPG; Art. 38 RPV). Der Richtplan des Kantons Wallis enthält keine (positive oder negative) Standortplanung für Speziallandwirtschaftszonen; es fehlen auch Vorgaben für die Ausscheidung solcher Zonen durch die Gemeinden. Damit können zurzeit keine Speziallandwirtschaftszonen (gemäss Art. 16a Abs. 3 RPG und Art. 38 RPV) ausgeschieden werden (E. 2.3). Im Übrigen dienen die vorgesehenen Nutzungen nicht der landwirtschaftlichen Bewirtschaftung (E. 2.4). Die streitige Zone kann auch nicht gestützt auf Art. 18 RPG ("weitere Nutzungszonen") zugelassen werden (E. 2.5). Sie ist als spezielle Bauzone zu qualifizieren, die gemäss Art. 38a Abs. 2 RPG und Art. 52a Abs. 2 RPV hätte kompensiert werden müssen (E. 2.6).</w:t>
      </w:r>
    </w:p>
    <w:p>
      <w:r>
        <w:t>Regeste b Nutzungsplanung; Befangenheit des Gemeindepräsidenten. Prüfung der Befangenheit des Gemeindepräsidenten, der gleichzeitig Präsident des Vereins für die Realisierung von Ringkuhkampfarena und Markthalle war (E. 3.2).</w:t>
      </w:r>
    </w:p>
    <w:p>
      <w:r>
        <w:t>Regeste a Zone agricole spéciale pour une arène de combat de reines et une halle marchande de la Chambre d'agriculture du Haut-Valais (art. 16, 16a et 18 LAT; art. 38 OAT). Le plan directeur du canton du Valais ne prévoit pas (positivement ou négativement) l'implantation de zones agricoles spéciales; les critères qui permettraient aux communes de délimiter de telles zones font également défaut. En l'état, aucune zone agricole spéciale (selon l'art. 16a al. 3 LAT et l'art. 38 OAT) ne peut être aménagée (consid. 2.3). Au surplus les affectations envisagées ne servent pas les intérêts de l'exploitation agricole (consid. 2.4). La zone litigieuse ne peut pas davantage être autorisée sur la base de l'art. 18 LAT ("autres zones d'affectation") (consid. 2.5). Il s'agit d'une zone à bâtir spéciale qui aurait dû être compensée en application de l'art. 38a al. 2 LAT et de l'art. 52a al. 2 OAT (consid. 2.6).</w:t>
      </w:r>
    </w:p>
    <w:p>
      <w:r>
        <w:t>Regeste b Planification; prévention du Président de commune. Examen de la prévention du Président de commune qui est également président de l'association à l'origine du projet de réalisation de l'arène de combat de reines et de la halle marchande (consid. 3.2).</w:t>
      </w:r>
    </w:p>
    <w:p>
      <w:r>
        <w:t>Regesto a Zona agricola speciale per un'arena di combattimento delle mucche regine e un mercato coperto della Camera di agricoltura dell'Alto Vallese (art. 16, 16a e 18 LPT; art. 38 OPT). Il piano direttore del Canton Vallese non prevede (positivamente o negativamente) ubicazioni per la formazione di zone agricole speciali; difettano pure i criteri per la delimitazione di simili zone da parte dei Comuni. Attualmente non possono quindi essere delimitate zone agricole speciali secondo l'art. 16a cpv. 3 LPT e l'art. 38 OPT (consid. 2.3). Del resto, le utilizzazioni previste non servono alla coltivazione agricola (consid. 2.4). La zona litigiosa non può nemmeno essere approvata sulla base dell'art. 18 LPT ("altre zone d'utilizzazione") (consid. 2.5). Deve essere qualificata come una zona edificabile speciale, che avrebbe dovuto essere compensata secondo gli art. 38a cpv. 2 LPT e 52a cpv. 2 OPT (consid. 2.6).</w:t>
      </w:r>
    </w:p>
    <w:p>
      <w:r>
        <w:t>Regesto b Pianificazione dell'utilizzazione; prevenzione del Presidente dell'Esecutivo comunale. Esame dell'esistenza di un motivo di ricusazione del Presidente dell'Esecutivo comunale che è contemporaneamente Presidente dell'associazione per la realizzazione dell'arena di combattimento delle mucche regine e del mercato coperto (consid. 3.2).</w:t>
      </w:r>
    </w:p>
    <w:p>
      <w:pPr>
        <w:pStyle w:val="Heading2"/>
      </w:pPr>
      <w:r>
        <w:t>Erwägungen</w:t>
      </w:r>
    </w:p>
    <w:p>
      <w:r>
        <w:rPr>
          <w:b/>
        </w:rPr>
        <w:t>E. 2</w:t>
      </w:r>
    </w:p>
    <w:p>
      <w:r>
        <w:t>und eine Parkierungsanlage für 100 Personenwagen mit Anhänger (2,5 x 10 m) vorgesehen. Die Hauptbestimmung der Zone ist somit die Zulassung von Bauten und Anlagen. Diese dienen weder der Landwirtschaft (oben E. 2.4), noch sind sie auf einen Standort ausserhalb der Bauzonen angewiesen und sind daher (ähnlich einem Stadion mit Mantelnutzung für Verkaufs- und Dienstleistungen) innerhalb einer solchen zu realisieren. Ob eine Kleinbauzone am vorgesehenen Standort mit dem Konzentrationsprinzip und anderen Zielen und Grundsätzen der Raumplanung vereinbar wäre (wozu sich das ARE und die Gemeinde Raron in ihren Vernehmlassungen kontrovers äussern) und im Detailnutzungsplanverfahren, ohne Änderung des Rahmenzonenplans, erlassen werden könnte, braucht nicht weiter geprüft zu werden: Bis zur Genehmigung der Anpassung des Walliser Richtplans an das revidierte RPG darf die Fläche der rechtskräftig ausgeschiedenen Bauzonen insgesamt nicht vergrössert werden, weshalb die fragliche Zone nicht ohne Kompensation gemäss Art. 52a Abs. 2 RPV hätte genehmigt werden dürfen. Art. 38a Abs. 2 RPG gilt für alle Bauzonen im Sinne von Art. 15 RPG (AEMISEGGER/KISSLING, a.a.O., N. 29 zu Art. 38a RPG ) und damit auch für die vorliegend streitige Zone, unabhängig von ihrer Bezeichnung als "Speziallandwirtschaftszone".</w:t>
      </w:r>
    </w:p>
    <w:p>
      <w:r>
        <w:rPr>
          <w:b/>
        </w:rPr>
        <w:t>E. 2.1</w:t>
      </w:r>
    </w:p>
    <w:p>
      <w:r>
        <w:t>Die Gemeinde und der Staatsrat gingen davon aus, die streitige spezielle Landwirtschaftszone könne sich auf Art. 16a Abs. 3 RPG stützen. Dagegen entschied das Kantonsgericht, dass die Voraussetzungen für die Ausscheidung solcher Zonen im Wallis nicht vorlägen, weil der Kanton bisher weder im kantonalen Richtplan noch in der Planungs- und Baugesetzgebung die bei der Gebietsausscheidung nach Art. 16a Abs. 3 RPG zu beachtenden Anforderungen in allgemeiner Weise festgelegt habe. Im Übrigen dienten die vorgesehenen Bauten und Anlagen (Markthalle, Ringkuhkampfarena) auch nicht einem landwirtschaftlichen Betrieb. Nach Auffassung des Kantongerichts kann sich die Detailnutzungsplanung indessen auf Art. 18 Abs. 1 RPG stützen. Es verweist auf Art. 16 Abs. 3 RPG , der die Diversifizierung der Landwirtschaftszonen nach deren Funktionen vorsehe. Es stehe im Belieben der Kantone, für besondere Kulturen oder Lagen weitere spezielle Landwirtschaftszonen vorzusehen (mit Verweis auf WALDMANN/HÄNNI, Raumplanungsgesetz, 2006, N. 1 und 37 zu Art. 18 RPG ). Die Gemeinden seien im Bereich der Zonenplanung autonom, soweit das übergeordnete kantonale Recht und die Richtplanung keine Beschränkungen vorsehen. Dies sei nicht der Fall, insbesondere seien nach dem Koordinationsblatt E. 1/2 des kantonalen Richtplans spezielle Landwirtschaftszonen für bodenunabhängige landwirtschaftliche Aktivitäten nach Art. 18 Abs. 1 RPG und Art. 11 Abs. 2 des kantonalen Ausführungsgesetzes vom 23. Januar 1987 zum Bundesgesetz über die Raumplanung (kRPG; SGS 701.1) vorgesehen. Vorliegend habe die Gemeinde ihre Autonomie nicht überschritten, könnten doch Ringkuhkämpfe wie auch Viehschauen oder Viehmärkte als bodenunabhängige landwirtschaftliche Aktivitäten bezeichnet werden, zumal der Erlös der Ringkuhkämpfe zu landwirtschaftlichen Zwecken oder zu Gunsten des Herdenbuches verwendet werde (Art. 40 der Vorschriften zur Regelung der Ringkuhkämpfe des Schweizerischen Eringerviehzuchtverbandes SEZV). Hingegen sei Art. 70.1 BZR dahingehend zu ändern, dass es sich bei der Speziallandwirtschaftszone "Baggersee" nicht um eine solche nach Art. 16a Abs. 3 RPG , sondern nach Art. 18 Abs. 1 RPG handle.</w:t>
      </w:r>
    </w:p>
    <w:p>
      <w:r>
        <w:rPr>
          <w:b/>
        </w:rPr>
        <w:t>E. 2.2</w:t>
      </w:r>
    </w:p>
    <w:p>
      <w:r>
        <w:t>Landwirtschaftszonen dienen der langfristigen Sicherung der Ernährungsbasis des Landes, der Erhaltung der Landschaft und des BGE 143 II 588 S. 592 Erholungsraums oder dem ökologischen Ausgleich und sollen entsprechend ihren verschiedenen Funktionen von Überbauungen weitgehend freigehalten werden ( Art. 16 Abs. 1 RPG ). Sie umfassen Land, das sich für die landwirtschaftliche Bewirtschaftung oder den produzierenden Gartenbau eignet und zur Erfüllung der verschiedenen Aufgaben der Landwirtschaft benötigt wird (lit. a) oder im Gesamtinteresse landwirtschaftlich bewirtschaftet werden soll (lit. b). Die Kantone tragen in ihren Planungen den verschiedenen Funktionen der Landwirtschaftszone angemessen Rechnung ( Art. 16 Abs. 3 RPG ). Zonenkonform in der Landwirtschaftszone sind Bauten und Anlagen, die für die bodenabhängige landwirtschaftliche Bewirtschaftung oder für den produzierenden Gartenbau nötig sind ( Art. 16a Abs. 1 RPG und Art. 34 ff. RPV [SR 700.1]). Bauten und Anlagen für die bodenunabhängige landwirtschaftliche Produktion können in der Regel nur im Rahmen der inneren Aufstockung bewilligt werden ( Art. 16a Abs. 2 RPG und Art. 36 f. RPV). Die Kantone haben aber die Möglichkeit, die in der Landwirtschaftszone zulässigen Nutzungen restriktiver zu umschreiben ( Art. 16 Abs. 3 und Art. 16a Abs. 1 Satz 2 RPG ).</w:t>
      </w:r>
    </w:p>
    <w:p>
      <w:r>
        <w:rPr>
          <w:b/>
        </w:rPr>
        <w:t>E. 2.3</w:t>
      </w:r>
    </w:p>
    <w:p>
      <w:r>
        <w:t>Bauten und Anlagen für die bodenunabhängige landwirtschaftliche Produktion, die über eine innere Aufstockung hinausgehen, sind nur in solchen Gebieten der Landwirtschaftszone zonenkonform, die vom Kanton in einem Planungsverfahren dafür freigegeben wurden ( Art. 16a Abs. 3 RPG ; sog. spezielle oder Intensivlandwirtschaftszonen). In der Regel geschieht dies im Verfahren der kantonalen Richtplanung (ARE, Neues Raumplanungsrecht, Erläuterungen zur Raumplanungsverordnung und Empfehlungen für den Vollzug, S. 38; RUCH, in: Kommentar zum Bundesgesetz über die Raumplanung, 2010 [Stand Juni 2009], N. 49 zu Art. 16a RPG ; WALDMANN/HÄNNI, a.a.O., N. 31 zu Art. 16a RPG ). Gemäss Art. 38 RPV müssen jedenfalls die Anforderungen an die Ausscheidung von Speziallandwirtschaftszonen in allgemeiner Weise festgelegt werden, sei es im Rahmen der Richtplanung oder auf dem Weg der Gesetzgebung (RUCH, a.a.O., N. 50 zu Art. 16a RPG ). Wie das Kantonsgericht dargelegt hat, fehlt es vorliegend an dieser Voraussetzung: Im Koordinationsblatt E. 1/2 des geltenden kantonalen Richtplans (vom Staatsrat beschlossen am 18. Dezember 1996 und vom Bund genehmigt am 22. Dezember 1999) werden spezielle Landwirtschaftszonen zwar erwähnt; dagegen wird weder eine (positive oder negative) Planung möglicher Standorte vorgenommen BGE 143 II 588 S. 593 noch werden die bei der Zonenausscheidung zu beachtenden Anforderungen festgelegt.</w:t>
      </w:r>
    </w:p>
    <w:p>
      <w:r>
        <w:rPr>
          <w:b/>
        </w:rPr>
        <w:t>E. 2.4</w:t>
      </w:r>
    </w:p>
    <w:p>
      <w:r>
        <w:t>Hinzu kommt, dass die geplanten und in Art. 70.1 BZR ausdrücklich genannten Bauten und Anlagen (Markthalle der OLK inklusive Parkierung; Ringkuhkampfarena inklusive Nebenanlagen) nicht der landwirtschaftlichen Bewirtschaftung dienen und auch aus diesem Grund nicht in einer (speziellen) Landwirtschaftszone zugelassen werden können: Was unter landwirtschaftlicher Bewirtschaftung zu verstehen ist, ergibt sich aus der Landwirtschaftsgesetzgebung (ARE, Erläuterungen RPV, S. 29). Nach Art. 3 Abs. 1 des Bundesgesetzes vom 29. April 1998 über die Landwirtschaft [Landwirtschaftsgesetz; LwG; SR 910.1]) umfasst diese die Produktion verwertbarer Erzeugnisse aus Pflanzenbau und Nutztierhaltung (lit. a, so auch Art. 34 Abs. 1 lit. a RPV ). Gleichgestellt wird in Art. 3 Abs. 1 lit. b LwG die Aufbereitung, die Lagerung und der Verkauf der entsprechenden Erzeugnisse auf den Produktionsbetrieben (so auch Art. 34 Abs. 2 RPV ). Die geplante Markthalle ist nicht Bestandteil eines existierenden Produktionsbetriebs, d.h. es handelt sich um einen nichtlandwirtschaftlichen Gewerbebau für Verkaufsnutzungen. Die Ringkuhkampfarena dient in erster Linie einer Sport- oder Freizeitaktivität, auch wenn der Erlös der Rinderzucht zugutekommt. Daran ändert auch die gelegentliche Nutzung für Viehschauen und -auktionen nichts, zumal der Viehhandel eine gewerbliche und keine landwirtschaftliche Tätigkeit darstellt (Urteil 1C_71/2015 vom 23. Juni 2015 E. 4.1).</w:t>
      </w:r>
    </w:p>
    <w:p>
      <w:r>
        <w:rPr>
          <w:b/>
        </w:rPr>
        <w:t>E. 2.5</w:t>
      </w:r>
    </w:p>
    <w:p>
      <w:r>
        <w:t>Kann die streitige Nutzung somit nicht in einer (speziellen) Landwirtschaftszone realisiert werden, stellt sich die Frage, ob sich die Planung - wie vom Kantonsgericht angenommen - auf Art. 18 RPG stützen kann.</w:t>
      </w:r>
    </w:p>
    <w:p>
      <w:r>
        <w:rPr>
          <w:b/>
        </w:rPr>
        <w:t>E. 2.5.1</w:t>
      </w:r>
    </w:p>
    <w:p>
      <w:r>
        <w:t>Die Kantone können nach Art. 18 RPG "weitere Nutzungszonen" vorsehen und damit die bundesrechtlichen Grundtypen (Bauzone, Landwirtschaftszone und Schutzzone) weiter unterteilen, variieren, kombinieren und ergänzen (MUGGLI, in: Praxiskommentar RPG, Bd. I: Nutzungsplanung, Aemisegger/Moor/Ruch/Tschannen [Hrsg.], 2016, N. 11 zu Art. 18 RPG ). Allerdings dürfen sie die in Art. 15 bis 17 geschaffene Ordnung nicht unterlaufen und müssen insbesondere die für das Raumplanungsrecht fundamentale Unterscheidung zwischen Nichtbauzonen und Bauzonen (Trennungsgrundsatz) einhalten (Botschaft vom 27. Februar 1978 zum RPG, BBl 1978 I BGE 143 II 588 S. 594 1026). Sie sind daher entweder der Kategorie Bauzonen oder der Kategorie Nichtbauzonen zuzuordnen (EJPD/BRP, Erläuterungen zum Bundesgesetz über die Raumplanung [nachfolgend: Erläuterungen RPG], 1981, Art. 18 N. 2).</w:t>
      </w:r>
    </w:p>
    <w:p>
      <w:r>
        <w:rPr>
          <w:b/>
        </w:rPr>
        <w:t>E. 2.5.2</w:t>
      </w:r>
    </w:p>
    <w:p>
      <w:r>
        <w:t>Was zur Bauzone zu rechnen ist, wird in Art. 15 RPG bundesrechtlich festgelegt: Lässt die Hauptbestimmung einer Zone regelmässig Bautätigkeiten zu, welche weder mit bodenerhaltenden Nutzungen (vorab der Landwirtschaft) verbunden noch von ihrer Bestimmung her auf einen ganz bestimmten Standort angewiesen sind, so liegt von Bundesrechts wegen eine Bauzone vor, für welche die Kriterien des Art. 15 RPG gelten (EJPD/BRP, Erläuterungen RPG, a.a.O., Art. 15 N. 5 und Art. 18 N. 2: FLÜCKIGER/GRODECKI, in: Kommentar zum Bundesgesetz über die Raumplanung, Aemisegger/Moor/Ruch/Tschannen [Hrsg.], 2010 [Stand Juni 2009], N. 6 zu Art. 15 RPG ; MUGGLI, a.a.O., N. 11 zu Art. 15 RPG ; AEMISEGGER/KISSLING, Praxiskommentar RPG, Bd. I: Nutzungsplanung, N. 29 zu Art. 38a RPG ; WALDMANN/HÄNNI, a.a.O., N. 5 zu Art. 18 RPG ; HALLER/KARLEN, Raumplanungs-, Bau- und Umweltrecht, Bd. I, 1999, Rz. 245; strenger PETER HEER, Die raumplanungsrechtliche Erfassung von Bauten und Anlagen im Nichtbaugebiet, 1996, S. 154-156. Vgl. zur Qualifikation einer Kiesabbauzone Urteil 1A.115/2003 vom 23. Februar 2004 E. 2.2, in: URP 2004 S. 299; RDAF 2005 I S. 581).</w:t>
      </w:r>
    </w:p>
    <w:p>
      <w:r>
        <w:rPr>
          <w:b/>
        </w:rPr>
        <w:t>E. 2.5.3</w:t>
      </w:r>
    </w:p>
    <w:p>
      <w:r>
        <w:t>Sport- und Freizeitanlagen, die mit einer erheblichen baulichen Veränderung des Raums verbunden sind und nicht auf einen Standort ausserhalb der Bauzonen angewiesen sind, sind daher grundsätzlich in Bauzonen zu realisieren (THOMAS WIDMER DREIFUSS, Planung und Realisierung von Sportanlagen, 2002, S. 145). Dagegen können Zonen für Sport und Erholung als "weitere Zonen" zum Nichtbaugebiet gehören, wenn sie nach Zweck und Lage spezifische Nutzungsbedürfnisse ausserhalb der Bauzone abdecken (vgl. Urteil 1C_33/ 2015 vom 1. Juni 2015 E. 2.4). Dies ist insbesondere der Fall, wenn sie Teile des Nichtbaugebiets für eine Sport- oder Freizeitaktivität freihalten, die grosse nichtüberbaute Flächen beansprucht (wie z.B. der Ski- oder Golfsport) und hierfür nur eine beschränkte, für die Sportausübung notwendige bauliche Nutzung zulassen (MUGGLI, a.a.O., N. 28 f. zu Art. 18 RPG ; BRANDT/MOOR, in: Commentaire de la loi fédérale sur l'aménagement du territoire, 2010 [Stand Juni 2010], N. 8 zu Art. 18 RPG ; WALDMANN/HÄNNI, a.a.O., N. 29 f. zu Art. 18 RPG ; vgl. z.B. Urteile 1A.185/2004 vom 25. Juli 2005 E. 2.2 BGE 143 II 588 S. 595 zur Skisportzone; 1C_483/2012 vom 30. August 2013 E. 3.2 und 1C_234/2014 vom 6. Oktober 2014 E. 2.3 zu Reitsportzonen; BGE 134 II 217 und Urteil 1A.19/2007 vom 2. April 2008 zu Golfzonen).</w:t>
      </w:r>
    </w:p>
    <w:p>
      <w:r>
        <w:rPr>
          <w:b/>
        </w:rPr>
        <w:t>E. 2.6</w:t>
      </w:r>
    </w:p>
    <w:p>
      <w:r>
        <w:t>Art. 70.1 BZR nennt als zulässige Nutzungen insbesondere die Realisierung der Markthalle der Oberwalliser Landwirtschaftskammer (inklusive Parkierung) und einer Ringkuhkampfarena mit Nebenanlagen (Parkierung, Anbindestellen, Tierunterstände, Infrastrukturen). Gemäss Projektwettbewerb sind eine Markthalle von 800 m</w:t>
      </w:r>
    </w:p>
    <w:p>
      <w:r>
        <w:rPr>
          <w:b/>
        </w:rPr>
        <w:t>E. 2.7</w:t>
      </w:r>
    </w:p>
    <w:p>
      <w:r>
        <w:t>Nach dem Gesagten erweist sich der angefochtene Detailnutzungsplan als unzulässig und ist aufzuheben. Damit erübrigt sich die Prüfung der übrigen materiell-rechtlichen Rügen (insbesondere zur Koordinationspflicht und zum Lärmschutz).</w:t>
      </w:r>
    </w:p>
    <w:p>
      <w:r>
        <w:rPr>
          <w:b/>
        </w:rPr>
        <w:t>E. 3</w:t>
      </w:r>
    </w:p>
    <w:p>
      <w:r>
        <w:t>Im Folgenden ist noch kurz auf die verfahrensrechtlichen Rügen der Beschwerdeführerinnen 1 einzugehen. Diese machen eine Verletzung des rechtlichen Gehörs und der Ausstandspflicht geltend. Der Gemeinderat habe schon am 8. Juni 2015, BGE 143 II 588 S. 596 vor der Einigungsverhandlung vom 9. Juni 2015, über ihre Einsprache entschieden, d.h. der Ausgang des Verfahrens sei nicht mehr offen gewesen. Überdies sei der Gemeindepräsident, der zusammen mit dem Gemeindeschreiber die Einigungsverhandlung durchgeführt habe, befangen gewesen, sei er doch gleichzeitig Präsident des Vereins "Goler Markthalle", dessen Zweck die Planung und Realisierung der Markthalle und der Ringkuhkampfarena sei. Das Kantonsgericht habe diese formellen Rügen nicht näher geprüft und habe somit seinerseits das rechtliche Gehör verletzt.</w:t>
      </w:r>
    </w:p>
    <w:p>
      <w:r>
        <w:rPr>
          <w:b/>
        </w:rPr>
        <w:t>E. 3.1</w:t>
      </w:r>
    </w:p>
    <w:p>
      <w:r>
        <w:t>Letzterer Vorwurf ist unbegründet: Das Kantonsgericht hat sich (in den E. 3.3 und 4.1) zumindest kurz mit den Rügen der Beschwerdeführerinnen 1 auseinandergesetzt. Dies genügt den verfassungsrechtlichen Anforderungen an die Begründungspflicht und an das rechtliche Gehör.</w:t>
      </w:r>
    </w:p>
    <w:p>
      <w:r>
        <w:rPr>
          <w:b/>
        </w:rPr>
        <w:t>E. 3.2</w:t>
      </w:r>
    </w:p>
    <w:p>
      <w:r>
        <w:t>Der Verein "Goler Markthalle" ist Träger des Projekts der Markthalle samt Ringkuhkampfarena und führte dafür Anfang 2015 einen Projektwettbewerb durch. Für die Realisierung seines Projekts ist er auf die streitige Gestaltungsplanung angewiesen. Ist der Gemeindepräsident, der den Gemeinderat präsidierte und die Einspracheverhandlung leitet, gleichzeitig Präsident des Trägervereins, vertritt er nicht nur die Interessen der Planungsbehörde (Gemeinde), sondern auch diejenigen des Bauträgers. Diese Doppelstellung ist objektiv geeignet, den Anschein der Befangenheit zu erwecken. Dagegen liesse sich allerdings einwenden, dass der Gemeindepräsident den Verein nicht als Privatperson präsidiert, sondern als Vertreter der Gemeinde Raron, die selbst - gemeinsam mit der OLK - Vereinsmitglied ist. Würde es sich um ein Projekt der Gemeinde handeln, wäre eine Ausstandspflicht nach ständiger Rechtsprechung zu verneinen, weil die Gemeinde öffentliche und nicht private Interessen verfolgt und der Interessenkonflikt (Zuständigkeit der Gemeinde zur Planung und Bewilligung eigener Projekte) vom Gesetzgeber vorprogrammiert ist (vgl. z.B. Urteile 1C_97/2014 vom 9. Februar 2015 E. 3.4; 1C_278/2010 vom 31. Januar 2011 E. 2.2 und 2.3, in: URP 2011 S. 135). Vorliegend ist aber nicht die Gemeinde, sondern ein Verein Projektträger. Mitglied des Vereins ist auch nicht einzig die Gemeinde Raron, sondern zusätzlich die OLK, die selbst als Verein organisiert ist und Landwirtschaftsbetriebe, Genossenschaften, Verbände und Vereine, Gemeinden, Regionen und Einzelpersonen als Mitglieder zählt BGE 143 II 588 S. 597 ( www.olk.ch/ueber-uns/mitgliedschaft , zuletzt besucht am 8. September 2017). Letztlich kann die Frage offenbleiben, weil eine Verletzung von Art. 29 BV schon aus einem anderen Grund zu bejahen ist:</w:t>
      </w:r>
    </w:p>
    <w:p>
      <w:r>
        <w:rPr>
          <w:b/>
        </w:rPr>
        <w:t>E. 3.3</w:t>
      </w:r>
    </w:p>
    <w:p>
      <w:r>
        <w:t>Die Einsprache dient der Wahrung des rechtlichen Gehörs im Planungsverfahren. Art. 35 Abs. 1 kRPG schreibt die Einigungsverhandlung als notwendigen Bestandteil des Einspracheverfahrens vor, d.h. die Einsprecher haben Anspruch auf eine mündliche Anhörung. Der Entscheid über die Einsprache (gemäss Art. 35 Abs. 2 kRPG) erfolgt - wie sich schon aus der Gesetzesystematik ergibt - erst im Anschluss an diese Verhandlung. Hat der Gemeinderat - wie hier - schon vorher entschieden, die Einsprache abzuweisen, so hat er sich bereits festgelegt, ohne die Argumente der Einsprecher an der Einspracheverhandlung zur Kenntnis genommen zu haben. Daran ändert auch der Umstand nichts, dass "unter Vorbehalt des Ausgangs der Einigungsverhandlung" entschieden wurde. Dies gilt jedenfalls wenn - wie hier - im Anschluss an die Einigungsverhandlung keine Information bzw. Sitzung des Gemeinderats mehr stattfindet. In dieser Konstellation verkommt die Einigungsverhandlung zu einer leeren Formalie.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