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120</w:t>
      </w:r>
    </w:p>
    <w:p>
      <w:r>
        <w:t>Bundesgericht (BGE), 2017-02-28, DE</w:t>
      </w:r>
    </w:p>
    <w:p>
      <w:r>
        <w:rPr>
          <w:b/>
        </w:rPr>
        <w:t xml:space="preserve">Quelle: </w:t>
      </w:r>
      <w:r>
        <w:t>https://mcp.opencaselaw.ch/entscheid/bge_BGE_143_III_120</w:t>
      </w:r>
    </w:p>
    <w:p>
      <w:r>
        <w:t>FR: ATF 143 III 120</w:t>
      </w:r>
    </w:p>
    <w:p>
      <w:r>
        <w:t>IT: DTF 143 III 120</w:t>
      </w:r>
    </w:p>
    <w:p>
      <w:pPr>
        <w:pStyle w:val="Heading2"/>
      </w:pPr>
      <w:r>
        <w:t>Regeste</w:t>
      </w:r>
    </w:p>
    <w:p>
      <w:r>
        <w:t>Regeste a Art. 693 Abs. 3 Ziff. 1 OR; Wahl der Revisionsstelle; Stimmrechtsaktien; Stichentscheid. Mit Art. 693 Abs. 3 Ziff. 1 OR ist nicht vereinbar, dem Verwaltungsratspräsidenten für die Wahl der Revisionsstelle den Stichentscheid einzuräumen (E. 3).</w:t>
      </w:r>
    </w:p>
    <w:p>
      <w:r>
        <w:t>Regeste b Art. 706 Abs. 2 OR; Anfechtung von Generalversammlungsbeschlüssen; Gebot schonender Rechtsausübung. Anfechtung eines Generalversammlungsbeschlusses; Verstoss gegen das Gebot schonender Rechtsausübung (E. 4).</w:t>
      </w:r>
    </w:p>
    <w:p>
      <w:r>
        <w:t>Regeste a Art. 693 al. 3 ch. 1 CO; désignation de l'organe de révision; actions à droit de vote privilégié; voix prépondérante. Le fait d'accorder au président du conseil d'administration la voix prépondérante pour la désignation de l'organe de révision n'est pas compatible avec l'art. 693 al. 3 ch. 1 CO (consid. 3).</w:t>
      </w:r>
    </w:p>
    <w:p>
      <w:r>
        <w:t>Regeste b Art. 706 al. 2 CO; droit d'attaquer les décisions de l'assemblée générale; principe selon lequel un droit doit être exercé avec ménagement. Droit d'attaquer une décision de l'assemblée générale; violation du principe selon lequel un droit doit être exercé avec ménagement (consid. 4).</w:t>
      </w:r>
    </w:p>
    <w:p>
      <w:r>
        <w:t>Regesto a Art. 693 cpv. 3 n. 1 CO; nomina dell'ufficio di revisione; azioni con diritto di voto privilegiato; voto preponderante. Non è compatibile con l'art. 693 cpv. 3 n. 1 CO accordare al presidente del consiglio di amministrazione il voto preponderante per la nomina dell'ufficio di revisione (consid. 3).</w:t>
      </w:r>
    </w:p>
    <w:p>
      <w:r>
        <w:t>Regesto b Art. 706 cpv. 2 CO; diritto di contestare le deliberazioni dell'assemblea generale; principio secondo cui un diritto dev'essere esercitato con riguardo. Contestazione di una deliberazione dell'assemblea generale; violazione del principio secondo cui un diritto dev'essere esercitato con riguardo (consid. 4).</w:t>
      </w:r>
    </w:p>
    <w:p>
      <w:pPr>
        <w:pStyle w:val="Heading2"/>
      </w:pPr>
      <w:r>
        <w:t>Erwägungen</w:t>
      </w:r>
    </w:p>
    <w:p>
      <w:r>
        <w:rPr>
          <w:b/>
        </w:rPr>
        <w:t>E. 3</w:t>
      </w:r>
    </w:p>
    <w:p>
      <w:r>
        <w:t>Die Vorinstanz hat die Wahl der Revisionsstelle durch die ausserordentliche Generalversammlung der Beschwerdeführerin namentlich als rechtswidrig erklärt, weil diese mit dem Stichentscheid des Verwaltungsratspräsidenten zustande kam.</w:t>
      </w:r>
    </w:p>
    <w:p>
      <w:r>
        <w:rPr>
          <w:b/>
        </w:rPr>
        <w:t>E. 3.1</w:t>
      </w:r>
    </w:p>
    <w:p>
      <w:r>
        <w:t>Nach Art. 693 Abs. 1 OR können die Statuten das Stimmrecht unabhängig vom Nennwert nach der Zahl der jedem Aktionär gehörenden Aktien festsetzen, so dass auf jede Aktie eine Stimme entfällt. Die Bemessung des Stimmrechts nach der Zahl der Aktien ist jedoch nach Art. 693 Abs. 3 OR nicht anwendbar für bestimmte Geschäfte, namentlich für die Wahl der Revisionsstelle ( Art. 693 Abs. 3 Ziff. 1 OR ). Hier bemisst sich die Stimmkraft nach dem Nominalwert der Aktien und entscheidet im Ergebnis die Kapitalmehrheit (ANDREAS LÄNZLINGER, in: Basler Kommentar, Obligationenrecht, 5. Aufl. 2016, N. 10 zu Art. 693 OR ; PETER BÖCKLI, Schweizer Aktienrecht, 4. Aufl. 2009, § 12 N. 360b; DRUEY/DRUEY JUST/GLANZMANN, Gesellschafts- und Handelsrecht, 11. Aufl. 2015, § 10 N. 25). An dieser Regelung soll nach der Botschaft des Bundesrats vom 23. November 2016 zur Änderung des Obligationenrechts (Aktienrecht) nichts geändert werden (BBl 2017 539 Ziff. 2.1.19).</w:t>
      </w:r>
    </w:p>
    <w:p>
      <w:r>
        <w:rPr>
          <w:b/>
        </w:rPr>
        <w:t>E. 3.2</w:t>
      </w:r>
    </w:p>
    <w:p>
      <w:r>
        <w:t>Die Statuten können dem Vorsitzenden der Generalversammlung den Stichentscheid für den Fall der Stimmengleichheit verleihen, um deren Beschlussfähigkeit zu ermöglichen ( BGE 95 II 555 BGE 143 III 120 S. 124 E. 2 S. 559 ff.; vgl. BÖCKLI, a.a.O., § 12 N. 358, der von einer zum Gewohnheitsrecht verdichteten Praxis spricht). Der Vorsitzende der Generalversammlung ist in der Regel wie vorliegend der Verwaltungsratspräsident. Der Verwaltungsrat und mindestens indirekt auch dessen Präsident (vgl. Art. 712 OR ) wird von der Generalversammlung gewählt ( Art. 698 Abs. 2 Ziff. 2 OR ). Für diese Wahl ist jedoch - wenn die Statuten wie hier nichts Abweichendes vorsehen - die Mehrheit der Aktienstimmen und damit gerade nicht die Kapitalmehrheit massgebend (vgl. Art. 693 OR , Art. 704 OR ). Dass aber eine mit der Stimmenmehrheit und dem entsprechenden Übergewicht der Stimmrechtsaktien gewählte Person durch Stichentscheid über die Wahl der Revisionsstelle entscheiden kann, ist mit Art. 693 Abs. 3 OR nicht vereinbar. Denn für die Wahl der Revisionsstelle ist der Grundsatz der kapitalmässigen Bemessung des Stimmrechts nach Art. 693 Abs. 3 OR zwingend.</w:t>
      </w:r>
    </w:p>
    <w:p>
      <w:r>
        <w:rPr>
          <w:b/>
        </w:rPr>
        <w:t>E. 3.3</w:t>
      </w:r>
    </w:p>
    <w:p>
      <w:r>
        <w:t>Die Vorinstanz hat das Klagebegehren 1b zu Recht gutgeheissen, unbesehen darum, ob der Verwaltungsratspräsident Aktionär der Beschwerdeführerin ist. Die Beschwerde ist insoweit abzuweisen.</w:t>
      </w:r>
    </w:p>
    <w:p>
      <w:r>
        <w:rPr>
          <w:b/>
        </w:rPr>
        <w:t>E. 4</w:t>
      </w:r>
    </w:p>
    <w:p>
      <w:r>
        <w:t>Die Vorinstanz hat die Revision von Art. 12 Abs. 1 der Statuten der Beschwerdeführerin als rechtswidrig erachtet und ungültig erklärt.</w:t>
      </w:r>
    </w:p>
    <w:p>
      <w:r>
        <w:rPr>
          <w:b/>
        </w:rPr>
        <w:t>E. 4.1</w:t>
      </w:r>
    </w:p>
    <w:p>
      <w:r>
        <w:t>In einer Hauptbegründung hat die Vorinstanz erkannt, die Statutenbestimmung sei widersprüchlich. Da das absolute Mehr definitionsgemäss erfordert, dass mindestens die Hälfte der Stimmen plus eine erreicht wird, ist ein (negativer) Entscheid gefällt, wenn dies nicht zutrifft. Stimmengleichheit führt insofern nur beim Erfordernis des relativen Mehrs zu einer Pattsituation, die mit einem Stichentscheid behoben werden kann. Dies ist zweifellos rein logisch richtig. Immerhin betraf - wie die Beschwerdeführerin zutreffend bemerkt - das amtlich publizierte Präjudiz in BGE 95 II 555 aber ebenfalls eine Statutenbestimmung, welche das absolute Mehr der vertretenen Stimmen vorsah und ging das Bundesgericht in diesem Entscheid davon aus, dass eine Blockierung sämtlicher Vorschläge auch bei dieser Bestimmung möglich und mit dem Stichentscheid behebbar sei. Ob insofern an BGE 95 II 555 festgehalten werden kann oder ob verlangt werden müsste, dass die Statuten nur das relative Mehr der Stimmen verlangen dürfen, wenn sie einen Stichentscheid vorsehen (und z.B. weitere Abstimmungen mit relativem Mehr vorschreiben müssen, wenn sie zunächst eine absolute Stimmenmehrheit verlangen), kann im vorliegenden Fall offenbleiben. BGE 143 III 120 S. 125</w:t>
      </w:r>
    </w:p>
    <w:p>
      <w:r>
        <w:rPr>
          <w:b/>
        </w:rPr>
        <w:t>E. 4.2</w:t>
      </w:r>
    </w:p>
    <w:p>
      <w:r>
        <w:t>Die Vorinstanz hat die Statutenrevision mit Einführung des Stichentscheids des Verwaltungsratspräsidenten auch wegen Verstosses gegen Art. 706 OR ungültig erklärt. Sie hat insofern festgestellt, dass sich die Beklagte bisher am statutarischen Losentscheid bei Stimmengleichheit in Wahlgeschäften nicht gestört hat, sondern dass erst die Wiederwahl der umstrittenen Revisionsstelle den Ersatz des Loses durch den Stichentscheid des Verwaltungsratspräsidenten veranlasste. Die Vorinstanz hat daher als offensichtlich erachtet, dass es der Beklagten mit der Änderung von Art. 12 Abs. 1 der Statuten darum ging, die von der Klägerin anlässlich der vorangegangenen Generalversammlung praktizierte Opposition gegen die Wiederwahl der Revisionsstelle zu beenden. Sie hat erkannt, es seien keine sachlichen Gründe ersichtlich, weshalb der seit Jahrzehnten in Art. 12 Abs. 1 der Statuten vorgesehene Losentscheid bei Stimmengleichheit für Wahlen hätte ersetzt werden müssen. Der Auflösung von Pattsituationen und der Gewährleistung der Entscheidfähigkeit diene auch der Losentscheid; die Handlungsfähigkeit der Gesellschaft sei durch die ursprüngliche Lösung ebenso gut zu gewährleisten wie mit der neuen und der Losentscheid hätte den von der Gesellschaft behaupteten drohenden Organisationsmangel verhindert.</w:t>
      </w:r>
    </w:p>
    <w:p>
      <w:r>
        <w:rPr>
          <w:b/>
        </w:rPr>
        <w:t>E. 4.3</w:t>
      </w:r>
    </w:p>
    <w:p>
      <w:r>
        <w:t>Zu den anfechtbaren Beschlüssen im Sinne von Art. 706 Abs. 2 OR gehören hauptsächlich solche, die Rechte zum Schutz der Aktionäre verletzen (DRUEY/DRUEY JUST/GLANZMANN, a.a.O., § 12 N. 63). Namentlich sind Beschlüsse anfechtbar, die gegen den Grundsatz der Verhältnismässigkeit verstossen und insbesondere das Gebot der schonenden Rechtsausübung missachten (vgl. BÖCKLI, a.a.O., § 16 N. 112; DUBS/TRUFFER, in: Basler Kommentar, Obligationenrecht, Bd. II, 5. Aufl. 2016, N. 13, 15 zu Art. 706 OR ). So sind statutarische Beschränkungen der Einflussmöglichkeiten von Minderheitsaktionären unzulässig, welche zur Erreichung der angestrebten gesellschaftsrechtlichen Ziele nicht erforderlich sind oder die mit weniger einschneidenden Mitteln gleichfalls erreicht werden können. Die Rechtsprechung hat etwa für den Entzug oder die Einschränkung des Bezugsrechts entschieden, dass das Gebot schonender Rechtsübung hier besonders sorgfältig zu beachten ist und daher an die Begründung dafür hohe Anforderungen zu stellen sind ( BGE 121 III 219 E. 3 S. 238; BGE 117 II 290 E. 4e S. 300).</w:t>
      </w:r>
    </w:p>
    <w:p>
      <w:r>
        <w:rPr>
          <w:b/>
        </w:rPr>
        <w:t>E. 4.4</w:t>
      </w:r>
    </w:p>
    <w:p>
      <w:r>
        <w:t>Mit dem Losentscheid wird nach den geltenden Statuten der Beschwerdeführerin für den Fall einer Pattsituation bei Wahlen die BGE 143 III 120 S. 126 Handlungsfähigkeit der Gesellschaft sichergestellt; der hier umstrittene Ersatz des Losentscheids durch den Stichentscheid des Verwaltungsratspräsidenten betrifft keine anderen Situationen und vermag im Ergebnis die Handlungsfähigkeit der Gesellschaft nicht besser zu gewährleisten als der Losentscheid. Weshalb allgemein der Stichentscheid des Verwaltungsratspräsidenten eine bessere Lösung für die Beschwerdeführerin bedeuten sollte als der Losentscheid zwischen zwei - objektiv die Anforderungen erfüllenden - Wahlvorschlägen, ist nicht nachvollziehbar. Vor allem aber ist der Beschwerdegegnerin beizupflichten, wenn sie die geltende Lösung aus der Erwägung vorzieht, die Aktionäre mit Stimmenmehrheit könnten bei möglichen Losentscheiden weniger gut als bei Stichentscheiden ohne Rücksicht auf ihre Meinung entscheiden und müssten eher nach einvernehmlichen Lösungen suchen. Im Übrigen hat die Vorinstanz festgestellt, dass die Beschwerdeführerin keine allgemeinen Gründe für die Neuregelung anführt, sondern die angefochtene Statutenänderung vorgenommen hat, um die von den Aktionären mit den Stimmrechtsaktien gewünschte Wahl vornehmen zu können.</w:t>
      </w:r>
    </w:p>
    <w:p>
      <w:r>
        <w:rPr>
          <w:b/>
        </w:rPr>
        <w:t>E. 4.5</w:t>
      </w:r>
    </w:p>
    <w:p>
      <w:r>
        <w:t>Die Änderung von Art. 12 Abs. 1 der Statuten der Beschwerdeführerin ist rechtswidrig. Denn sie verstösst, auch soweit sie sich auf Wahlen bezieht, für welche die Bemessung des Stimmrechts nach der Kapitalbeteiligung nicht zwingend ist, gegen das Gebot schonender Rechtsausübung.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