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143 III 111</w:t>
      </w:r>
    </w:p>
    <w:p>
      <w:r>
        <w:t>Bundesgericht (BGE), 2017-03-09, FR</w:t>
      </w:r>
    </w:p>
    <w:p>
      <w:r>
        <w:rPr>
          <w:b/>
        </w:rPr>
        <w:t xml:space="preserve">Quelle: </w:t>
      </w:r>
      <w:r>
        <w:t>https://mcp.opencaselaw.ch/entscheid/bge_BGE_143_III_111</w:t>
      </w:r>
    </w:p>
    <w:p>
      <w:r>
        <w:t>FR: ATF 143 III 111</w:t>
      </w:r>
    </w:p>
    <w:p>
      <w:r>
        <w:t>IT: DTF 143 III 111</w:t>
      </w:r>
    </w:p>
    <w:p>
      <w:pPr>
        <w:pStyle w:val="Heading2"/>
      </w:pPr>
      <w:r>
        <w:t>Regeste</w:t>
      </w:r>
    </w:p>
    <w:p>
      <w:r>
        <w:t>Regeste Art. 42 Abs. 1 BGG; Begehren der Beschwerde in Zivilsachen, kantonale Parteientschädigung. Die Beschwerdepartei muss die kantonale Parteientschädigung, deren Zusprechung sie verlangt, grundsätzlich beziffern (E. 1.2).</w:t>
      </w:r>
    </w:p>
    <w:p>
      <w:r>
        <w:t>Regeste Art. 42 al. 1 LTF; conclusions du recours en matière civile, dépens cantonaux. La partie recourante doit en principe chiffrer les dépens cantonaux dont elle réclame l'allocation (consid. 1.2).</w:t>
      </w:r>
    </w:p>
    <w:p>
      <w:r>
        <w:t>Regesto Art. 42 cpv. 1 LTF; conclusioni del ricorso in materia civile, spese ripetibili cantonali. La parte ricorrente deve in linea di principio quantificare le spese ripetibili cantonali di cui reclama l'assegnazione (consid. 1.2).</w:t>
      </w:r>
    </w:p>
    <w:p>
      <w:pPr>
        <w:pStyle w:val="Heading2"/>
      </w:pPr>
      <w:r>
        <w:t>Erwägungen</w:t>
      </w:r>
    </w:p>
    <w:p>
      <w:r>
        <w:rPr>
          <w:b/>
        </w:rPr>
        <w:t>E. 1.2</w:t>
      </w:r>
    </w:p>
    <w:p>
      <w:r>
        <w:t>En vertu de l' art. 42 al. 1 LTF , le mémoire de recours doit indiquer, notamment, les conclusions. Lorsque le litige a pour objet une somme d'argent, celles-ci doivent être chiffrées ( ATF 134 III 235 consid. 2 et la jurisprudence citée), exigence qui s'applique aussi à la contestation des dépens de la procédure cantonale (arrêts 5A_378/2013 du 23 octobre 2013 consid. 1.2; 5A_619/2015 du 21 décembre 2015 consid. 1 in fine, non publié in ATF 142 III 110 ; 4A_13/2016 du 19 janvier 2016, avec les arrêts cités). En l'occurrence, la recourante conclut à la modification du chiffre III du dispositif de la décision entreprise en ce sens que les dépens sont mis à la charge de l'intimé (ch. 2), subsidiairement à la charge du canton de Fribourg (ch. 3), la cause étant renvoyée à la juridiction cantonale pour qu'elle en fixe le montant (ch. 4). Vu la jurisprudence récente, de telles conclusions apparaissent irrecevables, faute d'être chiffrées quant aux dépens réclamés (arrêts 4A_13/2016 précité; 4A_12/2014 du 6 mars 2014 consid. 2); ce montant ne ressort pas davantage de la motivation du recours ou de la décision attaquée ( ATF 134 III 235 consid. 2; par exemple: arrêt 5A_619/2015 ibidem). (...)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