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102</w:t>
      </w:r>
    </w:p>
    <w:p>
      <w:r>
        <w:t>Bundesgericht (BGE), 2017-02-07, DE</w:t>
      </w:r>
    </w:p>
    <w:p>
      <w:r>
        <w:rPr>
          <w:b/>
        </w:rPr>
        <w:t xml:space="preserve">Quelle: </w:t>
      </w:r>
      <w:r>
        <w:t>https://mcp.opencaselaw.ch/entscheid/bge_BGE_143_III_102</w:t>
      </w:r>
    </w:p>
    <w:p>
      <w:r>
        <w:t>FR: ATF 143 III 102</w:t>
      </w:r>
    </w:p>
    <w:p>
      <w:r>
        <w:t>IT: DTF 143 III 102</w:t>
      </w:r>
    </w:p>
    <w:p>
      <w:pPr>
        <w:pStyle w:val="Heading2"/>
      </w:pPr>
      <w:r>
        <w:t>Regeste</w:t>
      </w:r>
    </w:p>
    <w:p>
      <w:r>
        <w:t>Regeste Art. 168 Abs. 1 OR; Art. 250 lit. a Ziff. 6 ZPO; Hinterlegung beim Streit darüber, wem eine Forderung zusteht. Darf das Gericht im Fall der Hinterlegung gemäss Art. 168 Abs. 1 OR einem der Ansprecher Frist zur Klage gegen den anderen ansetzen unter der Androhung, dass der hinterlegte Betrag sonst dem anderen herausgegeben wird? Frage verneint (E. 2).</w:t>
      </w:r>
    </w:p>
    <w:p>
      <w:r>
        <w:t>Regeste Art. 168 al. 1 CO; art. 250 let. a ch. 6 CPC; consignation lorsque la propriété d'une créance est litigieuse. Dans le cas de consignation prévu par l'art. 168 al. 1 CO, le tribunal peut-il fixer à l'un des prétendants un délai pour agir contre l'autre sous la menace que la somme consignée sera sinon libérée au profit de ce dernier? Réponse négative (consid. 2).</w:t>
      </w:r>
    </w:p>
    <w:p>
      <w:r>
        <w:t>Regesto Art. 168 cpv. 1 CO; art. 250 lett. a n. 6 CPC; deposito nel caso in cui sia litigioso a chi spetti una pretesa. Il tribunale può, in caso di deposito secondo l'art. 168 cpv. 1 CO, impartire a uno dei pretendenti un termine per promuovere azione contro l'altro con la minaccia di altrimenti liberare l'importo depositato a favore di quest'ultimo? Quesito risolto negativamente (consid. 2).</w:t>
      </w:r>
    </w:p>
    <w:p>
      <w:pPr>
        <w:pStyle w:val="Heading2"/>
      </w:pPr>
      <w:r>
        <w:t>Erwägungen</w:t>
      </w:r>
    </w:p>
    <w:p>
      <w:r>
        <w:rPr>
          <w:b/>
        </w:rPr>
        <w:t>E. 2</w:t>
      </w:r>
    </w:p>
    <w:p>
      <w:r>
        <w:t>Die Beschwerdeführerin rügt, die Vorinstanz habe ihren Eventualantrag, der Beschwerdegegnerin Frist zur Klageeinleitung anzusetzen, zu Unrecht abgewiesen.</w:t>
      </w:r>
    </w:p>
    <w:p>
      <w:r>
        <w:rPr>
          <w:b/>
        </w:rPr>
        <w:t>E. 2.1</w:t>
      </w:r>
    </w:p>
    <w:p>
      <w:r>
        <w:t>Gemäss Art. 96 OR ist der Schuldner insbesondere zur Hinterlegung wie beim Verzug des Gläubigers berechtigt, wenn die Erfüllung der schuldigen Leistung infolge einer unverschuldeten Ungewissheit über die Person des Gläubigers weder an diesen noch an einen Vertreter geschehen kann. Art. 168 OR kommt als Spezialfall von Art. 96 OR zur Anwendung, wenn streitig ist, wem eine Forderung zusteht (Urteil 4A_511/2007 vom 8. April 2008 E. 2 mit Hinweisen, nicht publ. in: BGE 134 III 348 ). Nach Abs. 1 der Bestimmung kann sich der Schuldner durch die gerichtliche Hinterlegung befreien. Die befreiende Wirkung tritt allerdings nur ein, wenn ihre Voraussetzungen gemäss Bundesrecht erfüllt sind. Dieses schreibt nicht schon dem Hinterlegungsrichter eine entsprechende Prüfung vor, sondern trägt ihm nur die Bezeichnung der Hinterlegungsstelle auf ( Art. 92 Abs. 2 OR ). Ob der Hinterlegung befreiende Wirkung zukommt, entscheidet erst der ordentliche Richter, falls der angebliche Gläubiger trotz der Hinterlegung den Schuldner auf Erfüllung belangt ( BGE 105 II 273 E. 2 S. 276 mit Hinweisen; Urteil 4A_511/2007 vom 8. April 2008 E. 2.2, nicht publ. in: BGE 134 III 348 ). Nach dem Prozessrecht einzelner Kantone hatte der Hinterlegungsrichter im Falle von Art. 168 Abs. 1 OR die Möglichkeit, einem der beiden Ansprecher (und zwar demjenigen, welcher den Rechtsschein gegen sich hat) Frist zur Klage gegen den andern anzusetzen unter der Androhung, dass der hinterlegte Betrag bei Nichteinhaltung der Frist dem andern herausgegeben würde (siehe für die zürcherische Praxis im Einzelnen Urteil des Obergerichts des Kantons Zürich LF110084 vom 30. August 2011 E. 8.3 mit Hinweisen). Ob BGE 143 III 102 S. 105 derartige Vorschriften des kantonalen Prozessrechts mit dem Bundesrecht vereinbar waren, wurde in der Literatur angezweifelt (siehe etwa STAEHELIN, Die Hinterlegung zu Handen wes Rechtes und der Prätendentenstreit, BJM 1972 S. 234), vom Bundesgericht indessen offen gelassen ( BGE 87 III 14 E. 2a S. 21). Unter der Schweizerischen Zivilprozessordnung, die sich darauf beschränkt, die Hinterlegung eines streitigen Betrages nach Art. 168 Abs. 1 OR in Art. 250 lit. a Ziff. 6 ZPO dem summarischen Verfahren zuzuweisen, besteht für eine derartige Anordnung jedenfalls keine Grundlage mehr (so ausdrücklich JENT-SØRENSEN, in: ZPO, Oberhammer/Domej/Haas [Hrsg.], 2. Aufl. 2014, N. 9 zu Art. 250 ZPO ; siehe auch GIRSBERGER/HERMANN, in: Basler Kommentar, Obligationenrecht, Bd. I, 6. Aufl. 2015, N. 5 zu Art. 168 OR ).</w:t>
      </w:r>
    </w:p>
    <w:p>
      <w:r>
        <w:rPr>
          <w:b/>
        </w:rPr>
        <w:t>E. 2.2</w:t>
      </w:r>
    </w:p>
    <w:p>
      <w:r>
        <w:t>Der Entscheid der Vorinstanz, dem Eventualantrag der Beschwerdeführerin mangels gesetzlicher Grundlage nicht stattzugeben, ist demnach nicht zu beanstanden. Die Beschwerdeführerin kann ihn jedenfalls nicht durch die Behauptung als bundesrechtswidrig ausweisen, der Hinterlegungsrichter habe dafür zu sorgen, dass die Hinterlegung so bald wie möglich beendet werden könne. Denn das Gesetz enthält keine dahingehende Pflicht. Der Vorinstanz ist auch darin beizustimmen, dass in diesem Punkt kein Raum für richterliche Lückenfüllung besteht. Wie im angefochtenen Urteil zu Recht dargelegt wird, hat es jede Partei in ihren Händen, mittels Klage eine Entscheidung in der Sache herbeizuführen. Dass die Klägerrolle die von der Beschwerdeführerin genannten Nachteile mit sich bringen kann (ungünstiger Gerichtsstand, Vorschusspflicht, Risiko bereits bestehender Rechtshängigkeit), ist keine Besonderheit der Hinterlegung nach Art. 168 Abs. 1 OR und wäre im Übrigen auch nicht zu vermeiden, wenn das Gericht einer Partei Frist zur Klage ansetzen würde. Die Rüge der Beschwerdeführerin erweist sich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