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V 20</w:t>
      </w:r>
    </w:p>
    <w:p>
      <w:r>
        <w:t>Bundesgericht (BGE), 2016-01-07, DE</w:t>
      </w:r>
    </w:p>
    <w:p>
      <w:r>
        <w:rPr>
          <w:b/>
        </w:rPr>
        <w:t xml:space="preserve">Quelle: </w:t>
      </w:r>
      <w:r>
        <w:t>https://mcp.opencaselaw.ch/entscheid/bge_BGE_142_V_20</w:t>
      </w:r>
    </w:p>
    <w:p>
      <w:r>
        <w:t>FR: ATF 142 V 20</w:t>
      </w:r>
    </w:p>
    <w:p>
      <w:r>
        <w:t>IT: DTF 142 V 20</w:t>
      </w:r>
    </w:p>
    <w:p>
      <w:pPr>
        <w:pStyle w:val="Heading2"/>
      </w:pPr>
      <w:r>
        <w:t>Regeste</w:t>
      </w:r>
    </w:p>
    <w:p>
      <w:r>
        <w:t>Regeste Art. 35a Abs. 2 BVG; Art. 135 OR; Verjährung des Rückforderungsanspruchs. Die relative einjährige und die fünfjährige Frist zur Geltendmachung des Rückforderungsanspruchs betreffend zu Unrecht ausgerichteter Leistungen der beruflichen Vorsorge sind Verjährungsfristen im obligationenrechtlichen Sinne (E. 3).</w:t>
      </w:r>
    </w:p>
    <w:p>
      <w:r>
        <w:t>Regeste Art. 35a al. 2 LPP; art. 135 CO; prescription de la créance en restitution. Le délai relatif d'une année et le délai de cinq ans pour faire valoir une créance en restitution de prestations de la prévoyance professionnelle touchées indûment sont des délais de prescription au sens du droit des obligations (consid. 3).</w:t>
      </w:r>
    </w:p>
    <w:p>
      <w:r>
        <w:t>Regesto Art. 35a cpv. 2 LPP; art. 135 CO; prescrizione di una domanda di restituzione. Il termine relativo di un anno e quello di cinque anni per fare valere una domanda di restituzione riguardante prestazioni della previdenza professionale percepite indebitamente sono termini di prescrizione nel senso del diritto delle obbligazioni (consid. 3).</w:t>
      </w:r>
    </w:p>
    <w:p>
      <w:pPr>
        <w:pStyle w:val="Heading2"/>
      </w:pPr>
      <w:r>
        <w:t>Erwägungen</w:t>
      </w:r>
    </w:p>
    <w:p>
      <w:r>
        <w:rPr>
          <w:b/>
        </w:rPr>
        <w:t>E. 2</w:t>
      </w:r>
    </w:p>
    <w:p>
      <w:r>
        <w:t>Nach Art. 73 Abs. 2 des Vorsorgereglements vom 15. Juni 2007 für die Angestellten und die Rentenbeziehenden des Vorsorgewerks Bund (VRAB; SR 172.220.141.1) richtet sich die Verjährung von Rückforderungsansprüchen nach Artikel 35a BVG. Gemäss Abs. 2 dieser Bestimmung, welche auch im Bereich der weitergehenden Vorsorge gilt ( Art. 49 Abs. 2 Ziff. 4 BVG ), verjährt der Rückforderungsanspruch mit Ablauf eines Jahres, nachdem die Vorsorgeeinrichtung davon Kenntnis erhalten hat, spätestens aber mit Ablauf von fünf Jahren seit der Auszahlung der Leistung (Satz 1). Nach Auffassung der Vorinstanz handelt es sich bei der relativen einjährigen Frist nach Art. 35a Abs. 2 BVG um eine Verwirkungsfrist. Zu diesem Auslegungsergebnis ist sie im Wesentlichen aufgrund der Entstehungsgeschichte dieser Bestimmung gelangt. Da eine solche Frist weder stillstehen noch unterbrochen werden kann ( BGE 111 V 135 E. 3b S. 136), hat das kantonale Berufsvorsorgegericht den Rückforderungsanspruch der am Recht stehenden Vorsorgeeinrichtung als verwirkt betrachtet, da sie spätestens seit 10. März 2011 Kenntnis davon hatte, eine Monatsrente zu viel ausgerichtet zu haben (vgl. zum Beginn des Fristenlaufs Urteil 9C_399/2013 vom 30. November 2013 E. 3.1.1, in: SVR 2014 BVG Nr. 22 S. 79), indessen erst am 15. Dezember 2014 Klage erhob. Ist dagegen von einer Verjährungsfrist im obligationenrechtlichen Sinne auszugehen, wie die Beschwerdeführerin dafürhält, ist der Anspruch nicht verjährt. Seit BGE 142 V 20 S. 22 März 2011 bis zur Klageerhebung leistete der Beschwerdegegner regelmässig - jeweils innerhalb eines Jahres - Teilzahlungen, um seine Schuld zu tilgen. Solche Abschlagszahlungen gelten als Anerkennung der Forderung und unterbrechen die Verjährungsfrist ( Art. 135 Ziff. 1 OR ; vgl. auch BGE 133 V 579 E. 4.3.1 S. 583). Die Rechtsprechung hat sich bisher nicht abschliessend zur rechtlichen Natur der relativen einjährigen Frist nach Art. 35a Abs. 2 BVG äussern müssen (Urteil 9C_216/2014 vom 1. September 2014 E. 4.2.1, in: SVR 2015 BVG Nr. 26 S. 98). In der Lehre wird mehrheitlich die Auffassung vertreten, dass es sich dabei um eine Verjährungsfrist handelt ( HANS-ULRICH STAUFFER, Berufliche Vorsorge, 2. Aufl. 2012, N. 1119; ISABELLE VETTER-SCHREIBER, Berufliche Vorsorge, 3. Aufl. 2013, Rz. 10 zu Art. 35a BVG ; RIEMER/RIEMER-KAFKA, Das Recht der beruflichen Vorsorge in der Schweiz, 2. Aufl. 2005, N. 90 f.; BASILE CARDINAUX, Die Verjährung der Berufsvorsorgeleistungen: Eine Bestandesaufnahme und ein Ausblick, in: BVG-Tagung 2013, Aktuelle Fragen der beruflichen Vorsorge, Kieser/Stauffer [Hrsg.], S. 98; differenziertBETTINA KAHIL-WOLFF, in: LPP et LFLP, 2010, Rz. 12 zu Art. 35a BVG ).</w:t>
      </w:r>
    </w:p>
    <w:p>
      <w:r>
        <w:rPr>
          <w:b/>
        </w:rPr>
        <w:t>E. 3</w:t>
      </w:r>
    </w:p>
    <w:p>
      <w:r>
        <w:t>Ausgangspunkt jeder Gesetzesinterpretation ist der Wortlaut. Ist der Text nicht ganz klar und sind verschiedene Deutungen möglich, sind weitere Auslegungselemente heranzuziehen, neben der Entstehungsgeschichte der Norm, wie sich namentlich aus den Materialien ergibt, deren Zweck sowie die Bedeutung, die ihr im Kontext mit anderen Bestimmungen zukommt. Vom Wortlaut darf abgewichen werden, wenn triftige Gründe dafür bestehen, dass er nicht den wahren Sinn der Regelung wiedergibt. Sind mehrere Auslegungen möglich, ist jene zu wählen, die der Verfassung am besten entspricht. Allerdings findet auch eine verfassungskonforme Auslegung ihre Grenzen im klaren Wortlaut und Sinn einer Gesetzesbestimmung ( BGE 140 V 449 E. 4.2 S. 455 mit Hinweisen).</w:t>
      </w:r>
    </w:p>
    <w:p>
      <w:r>
        <w:rPr>
          <w:b/>
        </w:rPr>
        <w:t>E. 3.1</w:t>
      </w:r>
    </w:p>
    <w:p>
      <w:r>
        <w:t>Art. 35a Abs. 2 Satz 1 BVG ist insoweit klar, als er von verjährt ("se prescrit" bzw. "si prescrive" in der französischen und italienischen Textfassung) spricht. Nach einer allerdings schon älteren Rechtsprechung muss es sich aber nicht immer um eine Verjährungsfrist handeln, wenn eine Gesetzes- oder Verordnungsbestimmung diesen Begriff verwendet; es lässt sich auch eine Verwirkungsfrist annehmen (vgl. statt vieler BGE 117 V 208 E. 3b S. 210 mit Hinweisen; BGE 111 V 135 ). Aus den Materialien ergibt sich Folgendes: Gemäss der BGE 142 V 20 S. 23 Botschaft vom 1. März 2000 zur Revision des Bundesgesetzes über die berufliche Alters-, Hinterlassenen- und Invalidenvorsorge (BVG) entspricht der neue Art. 35a "Artikel 47 AHVG und erlaubt eine Koordination mit der AHV" (BBl 2000 2692 unten Ziff. 4.1). Nach Abs. 2 des bis 31. Dezember 2002 in Kraft gestandenen aArt. 47 AHVG verjährte der Rückforderungsanspruch mit dem Ablauf eines Jahres, nachdem die Ausgleichskasse davon Kenntnis erhalten hatte, spätestens aber mit dem Ablauf von fünf Jahren seit der einzelnen Rentenzahlung (Satz 1). Bei diesen Fristen handelte es sich entgegen dem Wortlaut ("verjährt") um Verwirkungsfristen ( BGE 133 V 579 E. 4.1 S. 582; BGE 111 V 135 ). Entsprechend dem integralen Hinweis auf aArt. 47 AHVG in der Botschaft stimmte Art. 35a BVG in der Fassung gemäss Entwurf bis auf die notwendigen redaktionellen Anpassungen praktisch wortwörtlich mit dieser Bestimmung überein. Insbesondere sah Abs. 1 Satz 2 vor, dass bei gutem Glauben und gleichzeitigem Vorliegen einer grossen Härte von der Rückforderung abgesehen werden kann, und in Abs. 2 war, wie erwähnt, von der Verjährung des Rückforderungsanspruchs die Rede (BBl 2000 2717). Art. 35a BVG gab in der parlamentarischen Beratung zu keinen Diskussionen Anlass (AB 2002 N 547; 2002 S 1046).</w:t>
      </w:r>
    </w:p>
    <w:p>
      <w:r>
        <w:rPr>
          <w:b/>
        </w:rPr>
        <w:t>E. 3.2</w:t>
      </w:r>
    </w:p>
    <w:p>
      <w:r>
        <w:t>Aufgrund der Entstehungsgeschichte allein müsste die relative einjährige Frist in Art. 35a Abs. 2 Satz 1 BVG als Verwirkungsfrist betrachtet werden, wie das die Vorinstanz getan hat (E. 2 vorne). Bei der Übernahme und einer sinngemässen Anwendung von aArt. 47 AHVG im Bereich der beruflichen Vorsorge ist indessen Folgendes zu beachten:</w:t>
      </w:r>
    </w:p>
    <w:p>
      <w:r>
        <w:rPr>
          <w:b/>
        </w:rPr>
        <w:t>E. 3.2.1</w:t>
      </w:r>
    </w:p>
    <w:p>
      <w:r>
        <w:t>In den meisten übrigen bundesgesetzlich geregelten Sozialversicherungszweigen, u.a. auch in der Alters- und Hinterlassenenversicherung (AHV), besteht zwischen den Beteiligten in dem Sinne ein autoritatives Verhältnis, dass der Versicherungsträger berechtigt und verpflichtet ist, über Leistungen ebenso wie über eine Rückerstattung von unrechtmässig bezogenen Leistungen eine Verfügung zu erlassen ( Art. 49 Abs. 1 ATSG [SR 830.1]; vgl. auch Art. 5 Abs. 1 VwVG [SR 172.021] und BGE 130 V 388 E. 2.3 S. 391). Demgegenüber erlassen Vorsorgeeinrichtungen keine Verfügungen im Rechtssinne ( BGE 140 V 154 E. 6.3.4 in fine S. 165; BGE 129 V 450 E. 2 f. S. 452; BGE 115 V 224 ). Diese unterschiedliche Ausgestaltung der Rechtsbeziehungen zwischen Rückforderungsberechtigten und Rückerstattungspflichtigen war der wesentliche Grund dafür, dass nach der BGE 142 V 20 S. 24 Rechtsprechung bis zum Inkrafttreten von Art. 35a Abs. 2 BVG am 1. Januar 2005 bei Fehlen einer Regelung im Vorsorgereglement subsidiär nicht aArt. 47 Abs. 2 AHVG, sondern die Verjährungsregeln der ungerechtfertigten Bereicherung nach Art. 67 Abs. 1 OR anwendbar waren ( BGE 128 V 236 E. 2b S. 239 f.; Urteil B 149/06 vom 11. Juni 2007 E. 6.2, in: SVR 2008 BVG Nr. 3 S. 9; Urteil des Eidg. Versicherungsgerichts B 55/05 vom 16. Oktober 2006 E. 4.2.3, in: SVR 2007 BVG Nr. 18 S. 61). Die fehlende Möglichkeit zum Erlass einer Verfügung bedeutete bei Annahme, die relative einjährige Frist nach Art. 35a Abs. 2 BVG sei eine Verwirkungsfrist, dass die Vorsorgeeinrichtungen regelmässig gehalten wären, bereits zu deren Wahrung eine Klage anzuheben, wie die Beschwerdeführerin richtig vorbringt. Neben dem damit verbundenen Kostenrisiko wäre zudem die im Interesse des Rechtsfriedens und der Prozessökonomie grundsätzlich immer und überall anzustrebende und zu fördernde gütliche Regelung erheblich erschwert, zumal ein Verjährungsverzicht im Hinblick auf aussergerichtliche Vergleichsverhandlungen nicht möglich ist (vgl. BGE 133 V 579 E. 4.3.5 S. 586; CARDINAUX, a.a.O., S. 97 f.).</w:t>
      </w:r>
    </w:p>
    <w:p>
      <w:r>
        <w:rPr>
          <w:b/>
        </w:rPr>
        <w:t>E. 3.2.2</w:t>
      </w:r>
    </w:p>
    <w:p>
      <w:r>
        <w:t>Weiter ist auf Art. 25 Abs. 2 ATSG hinzuweisen, der - im Rahmen von Art. 2 ATSG - seit 1. Januar 2003 die Geltendmachung des Rückforderungsanspruchs bei unrechtmässigem Leistungsbezug in zeitlicher Hinsicht für die übrigen bundesgesetzlich geregelten Sozialversicherungszweige normiert. Nach Satz 1 dieser Bestimmung erlischt ("s'éteint" bzw. "si estingue") der Rückforderungsanspruch mit dem Ablauf eines Jahres, nachdem die Versicherungseinrichtung davon Kenntnis erhalten hat, spätestens aber mit dem Ablauf von fünf Jahren nach der Entrichtung der einzelnen Leistung. Bei diesen Fristen handelt es sich dem Wortlaut entsprechend um Verwirkungsfristen ( BGE 138 V 74 E. 4.1 S. 77 mit Hinweisen). Mit Art. 25 Abs. 2 ATSG wurde die bisherige Regelung gemäss aArt. 47 Abs. 2 AHVG übernommen (UELI KIESER, ATSG-Kommentar, 3. Aufl. 2015, N. 55 zu Art. 25 ATSG ). Derselbe Gesetzgeber orientierte sich somit sowohl bei der Schaffung von Art. 25 ATSG als auch von Art. 35a BVG an aArt. 47 AHVG. Dabei sprach er in Abs. 2 der älteren, zwei Jahre früher in Kraft getretenen (ersteren) Bestimmung, welche im Bereich der beruflichen Vorsorge nicht anwendbar ist ( BGE 128 V 236 E. 2b in fine S. 240), nicht mehr von verjährt, sondern von erlischt, um klarzustellen, "dass es sich hier nicht um eine unterbrechbare Verjährung handelt, wie sie das Zivilrecht kennt, sondern um BGE 142 V 20 S. 25 ein unwiderrufliches Erlöschen der Rückforderung" (Parlamentarische Initiative Allgemeiner Teil Sozialversicherung, Bericht der Kommission des Ständerates vom 27. September 1990, BBl 1991 II 185 ff., 195 und 258 Ziff. 4.1). Dies spricht dafür, dass der Gesetzgeber bewusst im jüngeren Art. 35a Abs. 2 BVG den Begriff Verjährung verwendete, um zum Ausdruck zu bringen, dass diese Fristen nicht Verwirkungsfristen sind.</w:t>
      </w:r>
    </w:p>
    <w:p>
      <w:r>
        <w:rPr>
          <w:b/>
        </w:rPr>
        <w:t>E. 3.2.3</w:t>
      </w:r>
    </w:p>
    <w:p>
      <w:r>
        <w:t>Schliesslich spricht das BVG bei den Leistungsansprüchen ebenfalls von Verjährung, wobei es auf periodische Beiträge und Leistungen ausdrücklich Art. 129-142 OR für anwendbar erklärt ( Art. 41 Abs. 2 BVG ; vgl. BGE 133 V 579 E. 4.3.1 in fine S. 584). Aus gesetzessystematischer Sicht erscheint es kohärent, den Anspruch auf Rückforderung unrechtmässig erbrachter Leistungen nach Art. 35a BVG derselben Ordnung zu unterwerfen (CARDINAUX, a.a.O., S. 98).</w:t>
      </w:r>
    </w:p>
    <w:p>
      <w:r>
        <w:rPr>
          <w:b/>
        </w:rPr>
        <w:t>E. 3.3</w:t>
      </w:r>
    </w:p>
    <w:p>
      <w:r>
        <w:t>Nach dem Gesagten sind die Fristen nach Art. 35a Abs. 2 BVG als Verjährungsfrist im obligationenrechtlichen Sinne zu verstehen. Die von einem Teil der Lehre geäusserte Meinung, wonach es sich immerhin bei der fünfjährigen Frist um eine Verwirkungsfrist handeln soll (vgl. KAHIL-WOLFF, a.a.O., und BRECHBÜHL/SCHNYDER, Änderungen bei den Leistungen der beruflichen Vorsorge, SZS 2005 S. 54), ist abzulehnen. Diese Auffassung, die weder im Wortlaut noch in den Materialien eine Stütze findet, würde zu Rechtsunsicherheiten führen, namentlich in Bezug auf die Handlungen, mit denen die Fristen gewahrt werden können (vgl. CARDINAUX, a.a.O., S. 98). Im vorliegenden Fall wurde die relative einjährige Frist in Bezug auf die zu Unrecht ausgerichtete Altersrente für März 2011 durch die danach geleisteten Teilzahlungen des Beschwerdegegners jeweils rechtzeitig unterbrochen (E. 2 vorne), sodass der Rückforderungsanspruch bei Klageerhebung im Dezember 2014 noch nicht verjährt war. Die Beschwerde ist begründet.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