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346</w:t>
      </w:r>
    </w:p>
    <w:p>
      <w:r>
        <w:t>Bundesgericht (BGE), 2016-01-01, DE</w:t>
      </w:r>
    </w:p>
    <w:p>
      <w:r>
        <w:rPr>
          <w:b/>
        </w:rPr>
        <w:t xml:space="preserve">Quelle: </w:t>
      </w:r>
      <w:r>
        <w:t>https://mcp.opencaselaw.ch/entscheid/bge_BGE_142_IV_346</w:t>
      </w:r>
    </w:p>
    <w:p>
      <w:r>
        <w:t>FR: ATF 142 IV 346</w:t>
      </w:r>
    </w:p>
    <w:p>
      <w:r>
        <w:t>IT: DTF 142 IV 346</w:t>
      </w:r>
    </w:p>
    <w:p>
      <w:pPr>
        <w:pStyle w:val="Heading2"/>
      </w:pPr>
      <w:r>
        <w:t>Regeste</w:t>
      </w:r>
    </w:p>
    <w:p>
      <w:r>
        <w:t>Regeste Art. 158 Ziff. 1 StGB; ungetreue Geschäftsbesorgung, Churning. Eine Vermögensverwaltung, mit welcher in einem Handelszeitraum von weniger als drei Monaten das vom Geschäftsherrn angelegte durchschnittliche Nettovermögen über 54 Mal umgesetzt wird und bei welcher die angefallenen Transaktionskosten rund 73 % des aus der Handelstätigkeit resultierenden Totalverlusts ausmachen, erfüllt als Kommissionsschinderei (Churning) den Tatbestand der ungetreuen Geschäftsbesorgung (E. 3 und 4).</w:t>
      </w:r>
    </w:p>
    <w:p>
      <w:r>
        <w:t>Regeste Art. 158 ch. 1 CP; gestion déloyale, churning. Il y a gestion déloyale en cas de barattage financier (churning), à savoir notamment lorsque, dans une période de moins de trois mois, le gérant investit les actifs nets moyens que lui a confiés le mandant plus de 54 fois et que les coûts des transactions représentent environ 73 % des pertes totales de l'activité de négoce (consid. 3 et 4).</w:t>
      </w:r>
    </w:p>
    <w:p>
      <w:r>
        <w:t>Regesto Art. 158 n. 1 CP; amministrazione infedele, churning. Configura churning e in quanto tale adempie la fattispecie di amministrazione infedele una gestione patrimoniale in cui, nell'arco di meno di tre mesi, il patrimonio medio netto affidato dal cliente è investito più di 54 volte, generando costi di transazione pari a circa il 73 % della perdita totale risultante dall'attività di negoziazione (consid. 3 e 4).</w:t>
      </w:r>
    </w:p>
    <w:p>
      <w:pPr>
        <w:pStyle w:val="Heading2"/>
      </w:pPr>
      <w:r>
        <w:t>Erwägungen</w:t>
      </w:r>
    </w:p>
    <w:p>
      <w:r>
        <w:rPr>
          <w:b/>
        </w:rPr>
        <w:t>E. 3.1</w:t>
      </w:r>
    </w:p>
    <w:p>
      <w:r>
        <w:t>Gemäss Art. 29 lit. a und b StGB wird eine besondere Pflicht, deren Verletzung die Strafbarkeit begründet oder erhöht und die nur der juristischen Person obliegt, einer natürlichen Person zugerechnet, wenn diese als Organ oder als deren Mitglied oder als Gesellschafter handelt.</w:t>
      </w:r>
    </w:p>
    <w:p>
      <w:r>
        <w:rPr>
          <w:b/>
        </w:rPr>
        <w:t>E. 3.2</w:t>
      </w:r>
    </w:p>
    <w:p>
      <w:r>
        <w:t>Nach dem Treubruchtatbestand der ungetreuen Geschäftsbesorgung im Sinne von Art. 158 Ziff. 1 StGB wird mit Freiheitsstrafe bis zu 3 Jahren oder Geldstrafe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BGE 142 IV 346 S. 350 Vermögen geschädigt wird (Abs. 1). Handelt der Täter in der Absicht, sich oder einen andern unrechtmässig zu bereichern, so kann auf Freiheitsstrafe von einem Jahr bis zu 5 Jahren erkannt werden (Abs. 3). 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 BGE 129 IV 124 E. 3.1; BGE 123 IV 17 E. 3b; BGE 120 IV 190 E. 2b; BGE 105 IV 106 E. 2; BGE 100 IV 113 f.). Der Tatbestand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 BGE 129 IV 124 E. 3.1; BGE 123 IV 17 E. 3d; BGE 122 IV 279 E. 2a; BGE 121 IV 104 E. 2c mit Hinweisen). Zwischen der Verletzung der Treuepflicht und dem Vermögensschaden muss ein Kausalzusammenhang bestehen.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 BGE 120 IV 190 E. 2b; BGE 118 IV 244 E. 2b). Die entsprechenden Pflichten ergeben sich aus dem jeweiligen Grundverhältnis. Pflichtwidrig im Sinne von Art. 158 Ziff. 1 Abs. 1 StGB handelt, wer als Vermögensverwalter ein unerlaubtes Geschäftsrisiko eingeht, indem er Weisungen des Klienten missachtet ( BGE 120 IV 190 E. 2b S. 193). Tätigkeiten, die sich im Rahmen einer ordnungsgemässen Geschäftsführung halten, sind nicht tatbestandsmässig, selbst wenn die geschäftlichen BGE 142 IV 346 S. 351 Dispositionen zu einem Verlust führen. Strafbar ist einzig das Eingehen von Risiken, die ein umsichtiger Geschäftsführer in derselben Situation nicht eingehen würde. Es ist daher in einem solchen Fall ex ante zu bestimmen, ob die eingegangenen Risiken den getroffenen Vereinbarungen oder Weisungen des Auftraggebers zuwiderlaufen (Urteile des Bundesgerichts 6B_824/2011 vom 17. August 2012 E. 4.2; 6B_446/2010 vom 14. Oktober 2010 E. 8.2 und 8.4 mit Hinweisen). Subjektiv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namentlich das Merkmal der Pflichtverletzung, relativ unbestimmt ist ( BGE 120 IV 190 E. 2b mit Hinweisen). Der qualifizierte Treubruchtatbestand gemäss Art. 158 Ziff. 1 Abs. 3 StGB setzt die Absicht unrechtmässiger Bereicherung voraus. Eventualabsicht genügt.</w:t>
      </w:r>
    </w:p>
    <w:p>
      <w:r>
        <w:rPr>
          <w:b/>
        </w:rPr>
        <w:t>E. 3.3</w:t>
      </w:r>
    </w:p>
    <w:p>
      <w:r>
        <w:t>Unter "Churning" (Gebührenreiterei; Spesenschinderei) wird das dem Interesse des Kunden zuwiderlaufende häufige Umschichten eines Depots ohne wirtschaftlichen Grund verstanden, mit dem der Vermögensverwalter oder Broker Provisionen, Gebühren oder Kommissionen generieren kann. Im Einzelnen wird bei dieser Vorgehensweise das betreute Anlagekonto unter Ausnutzung einer erteilten Vollmacht in sachwidriger Häufigkeit und Frequenz zu dem Zweck umgeschichtet, den variablen handelsumsatzabhängigen Vergütungsanteil zu erhöhen, wodurch in der Regel innerhalb kurzer Zeit ein erheblicher Teil des eingesetzten Kapitals aufgezehrt (leer getradet) und dem Anleger durch die Steigerung der Umschlaghäufigkeit die Chance entzogen wird, einen Gewinn zu erzielen (Rundschreiben der FINMA 2009/1: "Eckwerte zur Vermögensverwaltung" S. 4 Rz. 14; JEAN-MARC SCHALLER, Handbuch des Vermögensverwaltungsrechts, 2013, N. 301, 834; DANIEL STOLL, Le mandat de l'introducing broker: un contrat "pénalement répréhensible"?, in: Mélanges en l'honneur de François Dessemontet, 2009, S. 361 f.; RALF KÖLBEL, in: Handbuch Wirtschaftsstrafrecht, Hans Achenbach und andere [Hrsg.], 4. Aufl., Heidelberg 2015, 5/1 N. 252 f.; FRANK ZIESCHANG, in: Kapitalmarktstrafrecht, Handkommentar, 3. Aufl., Baden-Baden 2013, 3/1 A. § 263 N. 97 f. und 3/2 A. § 266 N. 51; MANUEL LORENZ, Churning, Das Phänomen der kapitalmarkt- und BGE 142 IV 346 S. 352 börsenrechtlichen Spesenschinderei und die Sanktionierung im Straf- und Ordnungswidrigkeitenrecht, Heidelberg 2015, N. 5 ff., 115; NINA NESTLER, Churning, Frankfurt a.M. 2009, S. 30 f.). Das als "Churning" bezeichnete Verhalten verletzt die dem Beauftragten obliegende Pflicht zur Wahrung der Interessen des Auftraggebers. Diese Pflichtverletzung erfüllt nach einem früheren Rechtshilfeentscheid des Bundesgerichts den Tatbestand der ungetreuen Geschäftsbesorgung gemäss Art. 158 StGB , wenn sie von Personen begangen wird, die auf Grund des Gesetzes, eines behördlichen Auftrags oder eines Rechtsgeschäfts damit betraut sind, das Vermögen eines anderen zu verwalten oder eine solche Vermögensverwaltung zu beaufsichtigen, und der andere dadurch am Vermögen geschädigt wird (Urteil 1A.247/1999 vom 24. Januar 2000 E. 3d; vgl. auch Urteile 4C.149/1998 vom 28. Juli 1998 E. 3b, in: SJ 1999 I S. 126 und 6B_967/2013 vom 21. Februar 2014 E. 3.2.1; je mit Hinweisen; ferner BGE 137 III 393 E. 2.3). Soweit der Vermögensverwalter nicht jedes einzelne Geschäft mit dem Anleger abzusprechen hat, sondern im Rahmen eines Vermögensverwaltungsvertrages jeweils eigenständig Anlagegeschäfte vornehmen darf, stellt Churning eine typische Verletzung der Vermögensbetreuungspflicht dar (ZIESCHANG, a.a.O., 3/2 A. § 266 N. 51 und 53). Objektives Merkmal von Churning ist das Vorliegen einer übermässigen Handelstätigkeit (excessive trading) bzw. die überproportional häufige Umschichtung des Anlagekontos. Meist tritt auch eine - nicht bloss durch Kursverluste bedingte - Verringerung des Kontovolumens beim Anleger ein. Indiz für eine übermässige Handelstätigkeit bildet eine besonders hohe Anzahl von Transaktionen innerhalb einer kurzen Zeitspanne (Day Trades). Dabei ist die Übermässigkeit des Handels an den Anlagezielen des Kunden, namentlich seiner Bereitschaft zu Risikogeschäften, zu messen. Churning liegt jedenfalls dann vor, wenn das Anlageverhalten des Vermögensverwalters oder Brokers nicht mehr mit der Anlagestrategie und den Zielen des Anlegers übereinstimmt bzw. nicht mehr von diesen gedeckt ist (NESTLER, a.a.O., S. 31 ff.; LORENZ, a.a.O., N. 71).</w:t>
      </w:r>
    </w:p>
    <w:p>
      <w:r>
        <w:rPr>
          <w:b/>
        </w:rPr>
        <w:t>E. 4.1</w:t>
      </w:r>
    </w:p>
    <w:p>
      <w:r>
        <w:t>Im zu beurteilenden Fall ist in tatsächlicher Hinsicht davon auszugehen, dass der Beschwerdegegner Y. im Zeitraum vom 3. Oktober bis 20. Dezember 2006 mindestens mit 2'608 Kontrakten roundturn, wovon 2'453 im Daytrading, gehandelt und damit in der Handelszeit von weniger als drei Monaten das vom Privatkläger zur Verfügung gestellte durchschnittliche Nettovermögen BGE 142 IV 346 S. 353 (Mittelwert aller täglichen Nettovermögen) über 54 Mal umgesetzt hat. Dadurch hat er Transaktionskosten von insgesamt USD 169'900.- generiert. Innerhalb der Transaktionskosten entfallen USD 161'557- (95 %) auf Kommissionen, wovon USD 136'600.- an die A. GmbH zurückgeflossen sind. Die restlichen 5 % betreffen übrige Fees. Der reine, auf Marktrisiken zurückzuführende Handelsverlust betrug USD 64'193.90. Dieser macht gemessen am Gesamtverlust rund 27 % des eingesetzten Vermögens aus, die Transaktionskosten belaufen sich auf rund 73 % des Gesamtverlusts. Nach Beendigung des Vermögensverwaltungsmandats verblieb dem Privatkläger von seiner Einlage in der Höhe von insgesamt USD 234'520.- (Einzahlungen inkl. Nachschüssen von USD 229'520.- und Gutschrift von USD 5'000.-) noch ein Betrag von USD 459.52. Die A. GmbH hat mit ihrer Handelstätigkeit mithin 99,82 % des vom Privatkläger einbezahlten Vermögens verloren, wobei der Vermögensverlust in erster Linie durch die Transaktionskosten bedingt war.</w:t>
      </w:r>
    </w:p>
    <w:p>
      <w:r>
        <w:rPr>
          <w:b/>
        </w:rPr>
        <w:t>E. 4.2</w:t>
      </w:r>
    </w:p>
    <w:p>
      <w:r>
        <w:t>Nach den tatsächlichen Feststellungen der kantonalen Instanzen verpflichtete sich die A. GmbH bzw. der Beschwerdegegner Y. gegenüber dem Privatkläger zur Verwaltung des zur Verfügung gestellten Vermögens. Inhalt des Vertrages bildete der Handel mit Futures auf Rechnung und Risiko des Privatklägers (zum Vermögensverwaltungsvertrag vgl. Urteil 4A_364/2013 vom 5. März 2014 E. 5.1, mit Hinweisen; ferner ELIANE HIESTAND, Strafrechtliche Risiken von Vergütungszahlungen [Retrozessionen etc.] im Vermögensverwaltungsgeschäft, 2014, S. 176 f.). Futures sind an Terminbörsen gehandelte, standardisierte Kontrakte, bei welchen sich der Käufer verbindlich verpflichtet, bei der in der Zukunft liegenden Fälligkeit des Kontrakts eine bestimmte Menge eines Basiswertes zu einem festgelegten Preis zu kaufen oder zu verkaufen. Im Rahmen dieses Vermögensverwaltungsvertrages war der Beschwerdegegner Y. verpflichtet, das ihm übertragene Geschäft getreu und sorgfältig auszuführen ( Art. 398 Abs. 2 OR ; BGE 138 III 755 E. 4.2; BGE 137 III 393 E. 2.1; BGE 124 III 155 E. 2). Insofern traf ihn für das Vermögen des Privatklägers eine Fürsorgepflicht. Er verfügte selbstständig und nach eigenem Ermessen im Rahmen der generellen Weisungen über das einbezahlte Vermögen und bestimmte namentlich allein und nach seinem Gutdünken über die einzuschlagende Strategie, die konkreten Anlageentscheide und die Anzahl Kontrakte. Der Beschwerdegegner Y. war somit zweifellos Geschäftsführer im Sinne von Art. 158 StGB (vgl. auch Urteil 6B_967/2013 vom 21. Februar 2014 E. 3.1). BGE 142 IV 346 S. 354 Ausgangspunkt für die Beurteilung der Pflichtwidrigkeit der Geschäftsbesorgung bildet der Umstand, dass der Beschwerdegegner Y. durch den Handel mit dem zur Verfügung gestellten Vermögen von rund USD 230'000.- Transaktionskosten von rund USD 170'000.- generierte und einen Handelsverlust von USD 64'000.- verursachte. Wie die Beschwerdeführerin zutreffend ausführt, musste der Privatkläger somit für die Erzielung eines Handelsverlustes von USD 64'194.- Transaktionskosten von USD 169'900.- bezahlen. Dabei hatte der Privatkläger von der Kommissionsstruktur und von einem allfälligen Verteilschlüssel keine Kenntnis, da die Kommissionen zwischen der A. GmbH und der C. vereinbart worden waren. Wie die Vorinstanz zutreffend ausführt, ist es üblich, dass beim An- und Verkauf von Wertpapieren oder Terminkontrakten zugunsten des Brokers oder der Bank Kommissionen anfallen. Ein grundsätzliches Interesse an der Erzielung von Kommissionen ist denn auch durchaus legitim. Dem Beschwerdegegner Y. wird indes nicht vorgeworfen, dass er für seine Tätigkeit überhaupt Kommissionen erhoben hat. Es wird auch nicht deren Höhe beanstandet. Dass sich die Transaktionskosten von USD 59.- im Rahmen des Branchenüblichen bewegten, ist daher für den zu beurteilenden Fall ohne Bedeutung. Gegenstand der Anklage bildet allein die exzessive Häufigkeit der Transaktionen durch den Beschwerdegegner Y., wodurch das Anlagevermögen wegen der Höhe der erhobenen Kommissionen weitgehend aufgezehrt wurde. Dabei kann nicht ernsthaft in Frage stehen, dass sich der Einsatz des Vermögens durch den Beschwerdegegner Y. nicht mehr innerhalb einer pflichtgemässen Vermögensverwaltung hielt. Hiefür ist ausschlaggebend, dass nach den Berechnungen der Anklagebehörde auf dem durchschnittlichen Nettovermögen des Privatklägers - berechnet über die gesamte Dauer der Vermögensverwaltung - eine Rendite von 516,39 % oder hochgerechnet auf das ganze Jahr eine solche von 2'399,56 % bzw. von 9,56 % an jedem der 54 möglichen Handelstage notwendig gewesen wäre, nur um die Transaktionskosten zu decken, ohne dass sich dadurch das durchschnittliche Anlagekapital verändert hätte (angefochtene Urteile; zur Break-even Kennzahl vgl. NESTLER, a.a.O., S. 40; LORENZ, a.a.O., N. 97). Die Aufzehrung des Vermögens wurde demnach nicht in erster Linie durch die Marktentwicklung, sondern durch die Transaktionskosten verursacht. Bei dieser Art der Handelstätigkeit war es somit realistischerweise nicht mehr möglich, einen Gewinn zu erzielen oder selbst bloss das Vermögen zu BGE 142 IV 346 S. 355 erhalten. Davon ist jedenfalls bei einem Verhältnis, bei welchem die Verluste im Umfang von 73 % auf die anfallenden Kosten, einschliesslich Kommissionen und Gebühren, entfallen, ohne weiteres auszugehen. Ein derart hoher Anteil an dem durch die Kommissionen verursachten Gesamtverlust spricht für ein exzessives Handeltreiben des Vermögensverwalters (vgl. NESTLER, a.a.O., S. 46 f.). Die Beschwerdeführerin verweist in diesem Zusammenhang zu Recht auf die zwischen der C. und der A. GmbH vereinbarten "Guidelines for discretionary accounts", nach welchen bereits bei Transaktionskosten von mehr als 15 % des monatlichen durchschnittlichen Kontowertes eine übermässige Handelstätigkeit anzunehmen ist. Es ist daher davon auszugehen, dass der einzige Grund für die Fortführung der Handelstätigkeit im vorliegenden Fall die Generierung von Kommissionen zugunsten der Beschwerdegegner war. Die Annahme der Vorinstanz, es hätten durchaus reale Gewinnchancen bestanden, lässt sich bei dieser Sachlage nicht aufrechterhalten. Der Beschwerdegegner Y. hat somit eine Handelsstrategie gewählt, mit welcher die im Kommissionssystem liegenden Möglichkeiten in einem Masse ausgereizt wurden, dass keine realen Gewinnchancen mehr bestanden. Wie die Beschwerdeführerin weiter zu Recht vorbringt, ist für die Beantwortung der Frage, ob ein häufiges Umschlagen des Vermögens als Churning beurteilt werden muss, von einer Gesamtbetrachtung der Handelstätigkeit auszugehen. Denn die Pflichtwidrigkeit liegt bei der Kommissionsschinderei in der sachwidrigen Häufigkeit von Transaktionen, die für sich allein betrachtet nicht unangemessen sein müssen. Aus der Aufgliederung der gesamten Handelsaktivitäten in einzelne Geschäfte lässt sich für die Frage der Pflichtwidrigkeit der Geschäftsbesorgung insgesamt nichts ableiten. Insofern ist irrelevant, dass für den Entscheid zu einer einzelnen Transaktion nur der Break-even dieses einen Trades entscheidend ist. Von daher ist auch ohne Bedeutung, dass im vorliegenden Fall einzelne Transaktionen zu Beginn der Handelstätigkeit der A. GmbH einen Gewinn abwarfen. Ob die Vorinstanz dabei das vom 18. bis zum 25. Oktober 2006 erzielte Ergebnis angesichts der angefallenen Kommissionen von USD 46'000.- zu Recht als "geradezu sensationell" bewertet, kann dabei offenbleiben. In der Gesamtbetrachtung erscheint das Ergebnis der Vermögensverwaltung jedenfalls in einem anderen Licht. Zu keinem anderen Ergebnis führt sodann, dass der Privatkläger mit seinem Geld spekulieren und bewusst mit BGE 142 IV 346 S. 356 Termingeschäften innert kurzer Zeit Gewinne machen wollte. Denn die Bereitschaft des Kunden, risikoreiche Geschäfte einzugehen, und der Umstand, dass der Handel mit Futures mit hohen Risiken behaftet ist und auch bei einer sorgfältigen Handelsstrategie die Gefahr erheblicher Verluste bis hin zum Totalverlust droht, bedeutet für den Vermögensverwalter keinen Freipass dafür, das Geld über Kommissionen abzuschöpfen, die durch exzessive Handelstätigkeit generiert werden, und derart das Kundenkonto zu plündern. Das Einverständnis des Kunden richtet sich allein auf das Eingehen von Marktrisiken, bezieht sich mithin auf allfällige Verluste des eingesetzten Kapitals am Markt aufgrund von Kursverlusten im Rahmen einer ordnungsgemässen Geschäftsführung. Soweit der Beschwerdegegner X. in diesem Zusammenhang gestützt auf die sichergestellten Leads vorbringt, der Beschwerdegegner Y. habe dem Privatkläger zur Vorsicht geraten, beruft er sich auf unzulässige Noven.</w:t>
      </w:r>
    </w:p>
    <w:p>
      <w:r>
        <w:rPr>
          <w:b/>
        </w:rPr>
        <w:t>E. 4.3</w:t>
      </w:r>
    </w:p>
    <w:p>
      <w:r>
        <w:t>Die angefochtenen Urteile verletzen auch insofern Bundesrecht, als die Vorinstanz weiter annimmt, der Privatkläger habe die Handelsaktivität der A. GmbH gebilligt. Sie leitet dies daraus ab, dass der Privatkläger täglich die Kontoauszüge der C. erhalten hat, aus denen die Belastung mit Kommissionen ersichtlich war, und dass er nie - auch nicht nach kurzfristigen Handelserfolgen - Rückzahlungen verlangt, sondern im Gegenteil mehrfach Nachzahlungen geleistet hat. Durch sein Schweigen in Kenntnis des Handels und der erzielten Resultate habe er das Tun der Beschwerdegegner zumindest konkludent genehmigt. Entgegen der Auffassung der Vorinstanz entlastet die Beschwerdegegner nicht, dass dem Privatkläger jeweils die Abrechnungen der C. zugestellt worden sind und er dagegen keine Einwände erhoben hat. Der Vorinstanz ist zweifellos zuzustimmen, wenn sie annimmt, das Beharren des Privatklägers auf die Weiterführung des Handels sei angesichts der desaströsen Entwicklung der Handelstätigkeit unvernünftig gewesen. Der Privatkläger hat denn auch trotz der bedenklichen Ergebnisse keine Rückzahlungen verlangt, sondern gar noch Nachzahlungen geleistet. Daraus lässt sich aber nicht ableiten, dass er darin eingewilligt hätte, dass sein Anlagevermögen zum grössten Teil durch die Erhebung von Kommissionen aufgezehrt wird. Die berufsmässig mit Anlagegeschäften befassten Personen treffen bei der Anbahnung und Abwicklung von Verträgen über die Vermögensverwaltung besondere Aufklärungs-, Beratungs- und Warnpflichten ( BGE 124 III 155 E. 3a). Namentlich muss der Klient über wesentliche Vermögensverluste BGE 142 IV 346 S. 357 oder Interessenkonflikte informiert werden. Dazu gehört auch ein entsprechender Hinweis, wenn der Umfang der Entschädigung des Beauftragten das Resultat der Vermögensverwaltung massgeblich beeinflusst (Urteil 6B_967/2013 vom 21. Februar 2014 E. 3.2.1). Eine derartige Aufklärung haben die Beschwerdegegner unbestrittenermassen nicht geleistet. Zudem genügen die blosse Zustellung der Abrechnung oder die Möglichkeit, den Kontostand im Internet zu überprüfen, nach der Rechtsprechung für die Annahme einer konkludenten Genehmigung der Geschäftstätigkeit nicht (Urteil 6B_967/2013 vom 21. Februar 2014 E. 3.2.1 a.E.). Hier läge ohnehin lediglich eine nachträgliche Genehmigung vor. Eine tatbestandsausschliessende Einwilligung müsste indes jeweils vor der Tat, d.h. der einzelnen Order zum An- oder Verkauf eines Kontraktes erklärt worden sein. Soweit der Vermögensverwalter bevollmächtigt ist und über eine Dispositionsbefugnis verfügt, ist es dem Anleger daher grundsätzlich gar nicht möglich, sein Einverständnis mitzuteilen, da er keine Kenntnis vom Zeitpunkt eines konkreten Kaufs hat (LORENZ, a.a.O., N. 167). Daraus ergibt sich, dass bei der Konstellation des Churning grundsätzlich ein Einverständnis nur sehr eingeschränkt denkbar ist. Der Umstand, dass Kontoauszüge über die Geschäftsabschlüsse versandt werden, gegen die der Anleger keine Einwände erhebt, kann jedenfalls nicht als Einverständniserklärung verstanden werden. Im Rahmen exzessiver Handelstätigkeit kann in der blossen nachträglichen Kenntnisnahme bereits abgewickelter Geschäfte schon deshalb keine Genehmigung derselben liegen, weil die Zustimmung das Bewusstsein des Kunden voraussetzt, dass die übermässige Umschichtung des Vermögens seinen eigenen Interessen zuwiderläuft und nur den Kommissionsinteressen des Verwalters dient, was kaum je anzunehmen sein wird (LORENZ, a.a.O., N. 168; NESTLER, a.a.O., S. 56 f.; ANKE HADAMITZKY, in: Wirtschaftsstrafrecht, Handbuch des Wirtschaftsstraf- und -ordnungswidrigkeitenrechts, Christian Müller-Gugenberger [Hrsg.], 6. Aufl., Köln 2015, § 32 Rz. 141h). Dass der Privatkläger nicht vorgängig in die Handelstätigkeit der Beschwerdegegner eingewilligt hat, weil er keine Kenntnis von der Kommissionsstruktur hatte, so dass er nicht von Anbeginn weg eine für ihn hinsichtlich der Kommissionen nachteilige vertragliche Abmachung erkennen und von einem Abschluss absehen konnte, räumt auch die Vorinstanz ein. Insgesamt ist es daher lebensfremd anzunehmen, der Privatkläger habe allein aufgrund des Umstands, dass er die Kontoauszüge erhielt, in eine BGE 142 IV 346 S. 358 Handelsstrategie eingewilligt, bei welcher infolge der Belastung durch Kommissionen unter Umständen das gesamte investierte Kapital aufgezehrt würde. Vor diesem Hintergrund kommt der Erfahrung des Privatklägers im Handel mit risikoreichen Handelspapieren keine besondere Bedeutung zu. Es mag zutreffen, dass der Privatkläger Bauingenieur und Geschäftsführer einer Filiale seiner Arbeitgeberfirma war und bei seiner Hausbank schon mit Lombardkrediten spekuliert hat. Ob er schon allein deshalb "mitnichten ein gewöhnlicher Anleger" war, wie die Vorinstanz meint, scheint allerdings fraglich. Wie es sich damit im Einzelnen verhält, kann indes offenbleiben. In jedem Fall ging im zu beurteilenden Fall das eigentliche pflichtwidrige Verhalten nicht, wie von der Vorinstanz mehrfach suggeriert, vom Privatkläger, sondern von den Beschwerdegegnern aus. Selbst wenn das Verhalten des Privatklägers als leichtfertig zu beurteilen wäre, käme dem im Rahmen der ungetreuen Geschäftsbesorgung - anders als beim Tatbestand des Betruges - keine Bedeutung zu (vgl. BGE 135 IV 76 E. 5.3; Urteil 6P.133/2005 vom 7. Juni 2006 E. 15.4.4 und 15.4.6). Im Übrigen schliesst nach der Rechtsprechung auch die Genehmigung der einzelnen Transaktionen eine Pflichtverletzung nicht aus, soweit der Kunde deren Tragweite im Rahmen der gesamten Geschäftsabwicklung nicht zu überblicken vermag (Urteil 1A.247/1999 vom 24. Januar 2000 E. 3d; vgl. Urteile 6B_1070/2014 vom 14. Juli 2015 E. 2.1.2 und 6P.37/2007 vom 24. August 2007 E. 7.5 [ad Wucher]). Insgesamt haben die Beschwerdegegner das Vermögen des Privatklägers nicht ordungsgemäss verwaltet, sondern ihr eigenes Interesse an der Generierung möglichst hoher Kommissionen über dasjenige des Privatklägers gestellt. Der Freispruch der Beschwerdegegner von der Anklage der ungetreuen Geschäftsbesorgung verletzt daher Bundesrecht. Die Beschwerden erweisen sich als begründet. Bei diesem Ergebnis kann offenbleiben, ob es sich bei den von der C. an die A. GmbH weitergeleiteten Kommissionen um Retrozessionen (vgl. BGE 132 III 460 E. 4.5; BGE 137 III 393 E. 2; BGE 138 III 755 E. 5.5) gehandelt hat und ob gegebenenfalls auch die Rückbehaltung der Vergütungszahlungen unter den Tatbestand von Art. 158 Ziff. 1 StGB fällt (vgl. hierzu HIESTAND, a.a.O., S. 177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