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IV 324</w:t>
      </w:r>
    </w:p>
    <w:p>
      <w:r>
        <w:t>Bundesgericht (BGE), 2015-01-13, FR</w:t>
      </w:r>
    </w:p>
    <w:p>
      <w:r>
        <w:rPr>
          <w:b/>
        </w:rPr>
        <w:t xml:space="preserve">Quelle: </w:t>
      </w:r>
      <w:r>
        <w:t>https://mcp.opencaselaw.ch/entscheid/bge_BGE_142_IV_324</w:t>
      </w:r>
    </w:p>
    <w:p>
      <w:r>
        <w:t>FR: ATF 142 IV 324</w:t>
      </w:r>
    </w:p>
    <w:p>
      <w:r>
        <w:t>IT: DTF 142 IV 324</w:t>
      </w:r>
    </w:p>
    <w:p>
      <w:pPr>
        <w:pStyle w:val="Heading2"/>
      </w:pPr>
      <w:r>
        <w:t>Regeste</w:t>
      </w:r>
    </w:p>
    <w:p>
      <w:r>
        <w:t>Regeste Art. 91a Abs. 1 SVG; Vereitelung von Massnahmen zur Feststellung der Fahrunfähigkeit. Der an einem Unfall beteiligte Fahrzeuglenker muss grundsätzlich damit rechnen, dass er sich einer Alkoholkontrolle unterziehen muss (E. 1.1.3).</w:t>
      </w:r>
    </w:p>
    <w:p>
      <w:r>
        <w:t>Regeste Art. 91a al. 1 LCR; entrave aux mesures de constatation de l'incapacité de conduire. Le conducteur impliqué dans un accident doit de manière générale s'attendre à un contrôle de son alcoolémie (consid. 1.1.3).</w:t>
      </w:r>
    </w:p>
    <w:p>
      <w:r>
        <w:t>Regesto Art. 91a cpv. 1 LCStr; elusione di provvedimenti per accertare l'inattitudine alla guida. Il conducente coinvolto in un infortunio deve di regola aspettarsi di essere sottoposto a un controllo della sua alcolemia (consid. 1.1.3).</w:t>
      </w:r>
    </w:p>
    <w:p>
      <w:pPr>
        <w:pStyle w:val="Heading2"/>
      </w:pPr>
      <w:r>
        <w:t>Erwägungen</w:t>
      </w:r>
    </w:p>
    <w:p>
      <w:r>
        <w:rPr>
          <w:b/>
        </w:rPr>
        <w:t>E. 1</w:t>
      </w:r>
    </w:p>
    <w:p>
      <w:r>
        <w:t>Le recourant reproche à la cour cantonale d'avoir violé l' art. 91a al. 1 LCR . Il soutient que les éléments constitutifs objectifs et subjectifs de l'entrave aux mesures de constatation de l'incapacité de conduire ne sont pas réalisés.</w:t>
      </w:r>
    </w:p>
    <w:p>
      <w:r>
        <w:rPr>
          <w:b/>
        </w:rPr>
        <w:t>E. 1.1.1</w:t>
      </w:r>
    </w:p>
    <w:p>
      <w:r>
        <w:t>Aux termes de l' art. 91a al. 1 LCR , quiconque, en qualité de conducteur d'un véhicule automobile, s'oppose ou se dérobe intentionnellement à une prise de sang, à un contrôle au moyen de l'éthylomètre ou à un autre examen préliminaire réglementé par le Conseil fédéral, qui a été ordonné ou dont le conducteur devait supposer qu'il le serait, ou quiconque s'oppose ou se dérobe intentionnellement à un examen médical complémentaire ou fait en sorte que des mesures de ce genre ne puissent atteindre leur but, sera puni d'une peine privative de liberté de trois ans au plus ou d'une peine pécuniaire. BGE 142 IV 324 S. 326 Comme sous l'ancien art. 91 al. 3 LCR , la dérobade est liée à la violation des devoirs en cas d'accident. En effet, ce n'est qu'en cas d'accident, où des éclaircissements sur le déroulement des événements s'avèrent nécessaires, que l'on peut dire que le conducteur devait s'attendre avec une haute vraisemblance à ce qu'une mesure visant à établir son alcoolémie soit ordonnée (cf. ATF 126 IV 53 consid. 2a p. 55 s.; arrêts 6B_17/2012 du 30 avril 2012 consid. 3.2.1 et 6B_168/2009 du 19 mai 2009 consid. 1.2). Déterminer si une mesure de constatation de l'état d'incapacité du conducteur était hautement vraisemblable est une question de droit que le Tribunal fédéral examine librement (voir arrêt 6B_927/2014 du 16 janvier 2015 consid. 2.3 et l'arrêt cité). Ainsi, les éléments constitutifs de la dérobade sont au nombre de deux. Premièrement, l'auteur doit violer une obligation d'aviser la police en cas d'accident, alors que cette annonce est destinée à l'établissement des circonstances de l'accident et est concrètement possible. Deuxièmement, l'ordre de se soumettre à une mesure de constatation de l'état d'incapacité de conduire doit apparaître objectivement comme hautement vraisemblable au vu des circonstances. Indépendamment du devoir d'aviser la police en cas d'accident, le fait de consommer de l'alcool après un accident pouvant motiver un ordre de prise de sang peut remplir les conditions objectives de l'entrave au sens de l' art. 91a LCR . Sur le plan objectif, il est nécessaire que la prise de sang ait été hautement vraisemblable et que la consommation d'alcool après l'accident alléguée ait rendu impossible la constatation de l'alcoolémie au moment déterminant. Subjectivement, il faut que le conducteur ait eu la conscience de la haute vraisemblance de la prise de sang et qu'il ait voulu entraver cette mesure (voir ATF 131 IV 36 consid. 2.2.4 p. 40 rendu sous l'empire de l'ancien art. 91 al. 3 LCR ; ATF 114 IV 148 consid. 3).</w:t>
      </w:r>
    </w:p>
    <w:p>
      <w:r>
        <w:rPr>
          <w:b/>
        </w:rPr>
        <w:t>E. 1.1.2</w:t>
      </w:r>
    </w:p>
    <w:p>
      <w:r>
        <w:t>Conformément à l' art. 55 al. 1 LCR , les conducteurs de véhicules, de même que les autres usagers de la route impliqués dans un accident, peuvent être soumis à un alcootest. Depuis l'entrée en vigueur de cette disposition le 1 er janvier 2005, il est possible d'ordonner une telle investigation même en l'absence de tout soupçon préalable, alors que l'ancien art. 55 al. 2 LCR prévoyait "un examen approprié lorsque les indices permettent de conclure qu'ils sont pris de boisson". Par ailleurs, depuis le 1 er janvier 2008, l'art. 10 al. 1 de l'ordonnance du 28 mars 2007 sur le contrôle de la circulation routière (OCCR; RS 741.013) permet à la police de procéder de manière systématique à des tests préliminaires pour déterminer s'il y a BGE 142 IV 324 S. 327 eu consommation d'alcool. Cette évolution législative étend le champ des situations dans lesquelles des mesures visant à établir l'alcoolémie des usagers de la route sont ordonnées.</w:t>
      </w:r>
    </w:p>
    <w:p>
      <w:r>
        <w:rPr>
          <w:b/>
        </w:rPr>
        <w:t>E. 1.1.3</w:t>
      </w:r>
    </w:p>
    <w:p>
      <w:r>
        <w:t>En considération de l'évolution législative qui précède, il y a de manière générale lieu de s'attendre à un contrôle de l'alcoolémie à l'alcootest en cas d'accident, sous réserve que celui-ci soit indubitablement imputable à une cause totalement indépendante du conducteur.</w:t>
      </w:r>
    </w:p>
    <w:p>
      <w:r>
        <w:rPr>
          <w:b/>
        </w:rPr>
        <w:t>E. 1.2</w:t>
      </w:r>
    </w:p>
    <w:p>
      <w:r>
        <w:t>La cour cantonale a admis que le recourant pouvait s'attendre à ce que la police procède à un contrôle afin d'établir s'il était pris de boisson au moment des faits, au motif qu'il avait percuté du gibier, qu'il faisait nuit au moment de l'accident, que son véhicule ne pouvait plus rouler, qu'il sentait l'alcool et que ses déclarations relatives à sa consommation d'alcool étaient contradictoires. Le recourant soutient que tel n'était pas le cas et conteste avoir eu conscience qu'une prise de sang était hautement vraisemblable et avoir cherché à se dérober à cette mesure.</w:t>
      </w:r>
    </w:p>
    <w:p>
      <w:r>
        <w:rPr>
          <w:b/>
        </w:rPr>
        <w:t>E. 1.3</w:t>
      </w:r>
    </w:p>
    <w:p>
      <w:r>
        <w:t>Les circonstances de l'accident provoqué par le recourant ne peuvent pas être considérées comme banales puisque celui-ci a percuté un sanglier sans qu'aucun élément particulier n'explique la collision. Dans une telle configuration, l'ordre de se soumettre à un contrôle d'alcoolémie apparaissait comme hautement vraisemblable, ce qui ne pouvait échapper au recourant, de sorte que tant l'aspect objectif que subjectif de l'infraction sont réalisés. Le jugement attaqué ne retient par ailleurs pas que la fixation de l'alcoolémie au moment déterminant aurait été possible en l'espèce nonobstant la consommation d'alcool (Carmol) après l'accident. Il faut ainsi retenir que le comportement du recourant a rendu impossible la constatation de son état au moment déterminant. L'infraction est réalisée.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