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315</w:t>
      </w:r>
    </w:p>
    <w:p>
      <w:r>
        <w:t>Bundesgericht (BGE), 2016-06-02, FR</w:t>
      </w:r>
    </w:p>
    <w:p>
      <w:r>
        <w:rPr>
          <w:b/>
        </w:rPr>
        <w:t xml:space="preserve">Quelle: </w:t>
      </w:r>
      <w:r>
        <w:t>https://mcp.opencaselaw.ch/entscheid/bge_BGE_142_IV_315</w:t>
      </w:r>
    </w:p>
    <w:p>
      <w:r>
        <w:t>FR: ATF 142 IV 315</w:t>
      </w:r>
    </w:p>
    <w:p>
      <w:r>
        <w:t>IT: DTF 142 IV 315</w:t>
      </w:r>
    </w:p>
    <w:p>
      <w:pPr>
        <w:pStyle w:val="Heading2"/>
      </w:pPr>
      <w:r>
        <w:t>Regeste</w:t>
      </w:r>
    </w:p>
    <w:p>
      <w:r>
        <w:t>Regeste a Art. 6 Abs. 2 VStrR; strafrechtliche Verantwortlichkeit des Geschäftsherrn. Die Verletzung einer Rechtspflicht im Sinne von Art. 6 Abs. 2 VStrR setzt eine Garantenstellung voraus, d.h. eine bestimmte rechtliche Pflicht, das fragliche Verhalten durch Überwachung, Weisungen und falls notwendig Eingreifen zu verhindern. Da sich die Bestimmungen des Verwaltungsrechts in der Regel an den Geschäftsherrn richten, ist dieser rechtlich verpflichtet, deren Anwendung sicherzustellen bzw. deren Verletzung zu verhindern. Strafrechtliche Verantwortlichkeit vorliegend bejaht, da der Geschäftsherr es unterliess, Massnahmen zu ergreifen und seinen Angestellten angemessene Weisungen zu erteilen (E. 2).</w:t>
      </w:r>
    </w:p>
    <w:p>
      <w:r>
        <w:t>Regeste b Art. 34 Abs. 2 Satz 2 StGB; Bemessung des Tagessatzes nach den persönlichen und wirtschaftlichen Verhältnissen des Täters. Bestätigung der Rechtsprechung betreffend die Kriterien für die Bestimmung der Geldstrafe (Einkommen, Vermögen, Lebensaufwand, Unterstützungspflichten, persönliche Verhältnisse und Existenzminimum; E. 5).</w:t>
      </w:r>
    </w:p>
    <w:p>
      <w:r>
        <w:t>Regeste a Art. 6 al. 2 DPA; responsabilité pénale du chef d'entreprise. La violation d'une obligation juridique au sens de l'art. 6 al. 2 DPA suppose une position de garant, soit l'existence d'une obligation juridique spécifique d'empêcher le comportement en cause en exerçant une surveillance, en donnant des instructions et en intervenant au besoin. Dans la mesure où, dans la règle, c'est au chef d'entreprise que s'adressent les normes de droit administratif, il faut admettre qu'il est juridiquement tenu d'en garantir l'application, respectivement d'en empêcher la violation. Responsabilité pénale admise en l'espèce, le chef d'entreprise ayant omis de prendre des mesures et de donner des instructions adéquates à son personnel (consid. 2).</w:t>
      </w:r>
    </w:p>
    <w:p>
      <w:r>
        <w:t>Regeste b Art. 34 al. 2, 2 e phrase, CP; fixation du jour-amende selon la situation personnelle et économique de l'auteur. Confirmation de la jurisprudence en relation avec les critères déterminant la peine pécuniaire (revenu, fortune, train de vie, obligations d'assistance, circonstances personnelles et minimum vital; consid. 5).</w:t>
      </w:r>
    </w:p>
    <w:p>
      <w:r>
        <w:t>Regesto a Art. 6 cpv. 2 DPA; responsabilità penale del padrone d'azienda. La violazione di un obbligo giuridico ai sensi dell'art. 6 cpv. 2 DPA presuppone una posizione di garante, ossia l'esistenza di un obbligo giuridico specifico di impedire il comportamento in questione sorvegliando, impartendo istruzioni e, se del caso, intervenendo. Nella misura in cui, di regola, le norme di diritto amministrativo si rivolgono al padrone d'azienda, occorre ritenere che egli è giuridicamente tenuto a garantirne l'applicazione, rispettivamente a impedirne la violazione. Responsabilità penale ammessa in concreto, il padrone d'azienda avendo omesso di prendere delle misure e di impartire istruzioni adeguate al suo personale (consid. 2).</w:t>
      </w:r>
    </w:p>
    <w:p>
      <w:r>
        <w:t>Regesto b Art. 34 cpv. 2 seconda frase CP; fissazione dell'importo dell'aliquota giornaliera secondo la situazione personale ed economica dell'autore. Conferma della giurisprudenza in merito ai criteri per commisurare la pena pecuniaria (reddito, sostanza, tenore di vita, obblighi assistenziali, circostanze personali e minimo vitale; consid. 5).</w:t>
      </w:r>
    </w:p>
    <w:p>
      <w:pPr>
        <w:pStyle w:val="Heading2"/>
      </w:pPr>
      <w:r>
        <w:t>Erwägungen</w:t>
      </w:r>
    </w:p>
    <w:p>
      <w:r>
        <w:rPr>
          <w:b/>
        </w:rPr>
        <w:t>E. 2</w:t>
      </w:r>
    </w:p>
    <w:p>
      <w:r>
        <w:t>En premier lieu, le recourant conteste, pour des motifs identiques, sa condamnation pour infraction par négligence à la LEaux et pour contravention à la LPE.</w:t>
      </w:r>
    </w:p>
    <w:p>
      <w:r>
        <w:rPr>
          <w:b/>
        </w:rPr>
        <w:t>E. 2.1</w:t>
      </w:r>
    </w:p>
    <w:p>
      <w:r>
        <w:t>Le recourant ne remet pas en cause le fait que du purin provenant du domaine agricole qu'il exploite s'est écoulé dans les eaux de la rivière "C.", polluant le cours d'eau et entraînant la mort de nombreux poissons, crevettes et insectes ( art. 70 al. 1 let. a LEaux ), et BGE 142 IV 315 S. 318 que des déchets ont été incinérés en plein air dans l'enceinte d'un autre de ses domaines, alors qu'ils auraient dû être évacués via les filières officielles ( art. 61 let . f LPE). Il considère néanmoins qu'aucun reproche ne peut lui être adressé personnellement et, partant, critique sa condamnation en application de l'art. 6 al. 2 de la loi fédérale du 22 mars 1974 sur le droit pénal administratif (DPA; RS 313.0). La juridiction cantonale n'aurait pas démontré que des obligations résultant de sa position de garant avaient été fautivement violées.</w:t>
      </w:r>
    </w:p>
    <w:p>
      <w:r>
        <w:rPr>
          <w:b/>
        </w:rPr>
        <w:t>E. 2.2.1</w:t>
      </w:r>
    </w:p>
    <w:p>
      <w:r>
        <w:t>Conformément à l' art. 6 DPA , applicable par analogie aux actes punissables en vertu de la LEaux et de la LPE ( art. 73 LEaux et 62 al. 1 LPE),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w:t>
      </w:r>
    </w:p>
    <w:p>
      <w:r>
        <w:rPr>
          <w:b/>
        </w:rPr>
        <w:t>E. 2.2.2</w:t>
      </w:r>
    </w:p>
    <w:p>
      <w:r>
        <w:t>La violation d'une obligation juridique au sens de l' art. 6 al. 2 DPA suppose une position de garant, soit l'existence d'une obligation juridique spécifique d'empêcher le comportement en cause en exerçant une surveillance, en donnant des instructions et en intervenant au besoin. Dans la mesure où, dans la règle, c'est au chef d'entreprise que s'adressent les normes de droit administratif, il faut admettre qu'il est juridiquement tenu d'en garantir l'application, respectivement d'en empêcher la violation (arrêt 6B_189/2009 du 20 mai 2009 consid. 3.2.3 et les références).</w:t>
      </w:r>
    </w:p>
    <w:p>
      <w:r>
        <w:rPr>
          <w:b/>
        </w:rPr>
        <w:t>E. 2.3.1</w:t>
      </w:r>
    </w:p>
    <w:p>
      <w:r>
        <w:t>Selon les constatations du jugement de première instance, auxquelles renvoie le jugement attaqué, le recourant a toujours été très BGE 142 IV 315 S. 319 impliqué dans la gestion de son domaine et est plutôt interventionniste. C'est d'ailleurs le recourant qui, de son propre aveu, avait ordonné que le réduit annexe à la fosse à purin soit aménagé en pièce pour la traite des vaches destinées à la consommation de viande. Il a fait installer un tuyau reliant ce local à la fosse à purin, dans l'idée d'y faire évacuer le lait. Au moment de la réalisation de ce projet, il n'a pas tenu compte du fait que la fosse à purin pouvait être relativement haute et que le purin pouvait déborder dans l'autre sens par le tuyau reliant les deux espaces et s'évacuer par le collecteur d'eaux claires qui se trouvait dans le réduit en cours d'aménagement. Or, lorsque le recourant a donné l'instruction à l'un de ses employés de brasser la fosse à purin, la masse de purin est montée et s'est déversée dans le réduit par le tuyau litigieux, puis s'est écoulée dans le collecteur d'eaux claires et enfin dans la rivière. Si le recourant n'a pas agi de manière intentionnelle, il a omis de veiller à ce que ses employés prennent toutes les précautions qui s'imposaient lors de la manipulation de la fosse à purin. Au moment d'ordonner le brassage, il aurait dû demander aux employés de veiller à ce que le purin ne déborde pas et ne vienne pas souiller l'entrée de ce tuyau dont il connaissait l'existence, puisqu'il en avait conçu le plan. Il aurait également dû instruire ses employés sur le fait qu'il fallait prêter une attention particulière à la grille d'évacuation vers les eaux claires dans le réduit en cours d'aménagement.</w:t>
      </w:r>
    </w:p>
    <w:p>
      <w:r>
        <w:rPr>
          <w:b/>
        </w:rPr>
        <w:t>E. 2.3.2</w:t>
      </w:r>
    </w:p>
    <w:p>
      <w:r>
        <w:t>S'agissant de l'incinération illicite de déchets, il a été considéré que le fait que des déchets étaient régulièrement incinérés sur le domaine ne pouvait échapper au recourant, compte tenu de sa présence régulière et de son implication dans la gestion de celui-ci. Or il n'a rien fait pour interdire cette façon de faire et veiller de manière scrupuleuse à ce que les déchets soient évacués via les filières officielles.</w:t>
      </w:r>
    </w:p>
    <w:p>
      <w:r>
        <w:rPr>
          <w:b/>
        </w:rPr>
        <w:t>E. 2.4</w:t>
      </w:r>
    </w:p>
    <w:p>
      <w:r>
        <w:t>Le recourant ne remet pas en question les faits constatés par les autorités cantonales, mais allègue qu'il ne lui incombait aucun devoir juridique particulier. Or l' art. 6 al. 1 LEaux , selon lequel il est interdit d'introduire directement ou indirectement dans une eau des substances de nature à la polluer, et l' art. 30c al. 2 LPE , selon lequel il est interdit d'incinérer les déchets ailleurs que dans une installation (à l'exception des déchets naturels, provenant des forêts, des champs et des jardins, si leur incinération n'entraîne pas d'immissions excessives), interdisent de façon claire et non équivoque des comportements susceptibles de porter atteinte à l'environnement. C'est au recourant qu'il incombait, en sa qualité de chef d'entreprise, de veiller BGE 142 IV 315 S. 320 à ce que les dispositions précitées soient respectées. Son omission - non contestée - de prendre des mesures et de donner des instructions adéquates à son personnel suffit ainsi à engager sa responsabilité pénale. Le grief est mal fondé. (...)</w:t>
      </w:r>
    </w:p>
    <w:p>
      <w:r>
        <w:rPr>
          <w:b/>
        </w:rPr>
        <w:t>E. 5</w:t>
      </w:r>
    </w:p>
    <w:p>
      <w:r>
        <w:t>Le recourant conteste ensuite la valeur retenue à titre de jour-amende.</w:t>
      </w:r>
    </w:p>
    <w:p>
      <w:r>
        <w:rPr>
          <w:b/>
        </w:rPr>
        <w:t>E. 5.1</w:t>
      </w:r>
    </w:p>
    <w:p>
      <w:r>
        <w:t>La juridiction précédente a estimé que le montant de 1'000 fr. avait été calculé par la juridiction de première instance sur des bases correctes, soit un revenu de 440'000 fr. par an et une fortune imposable de 5'136'000 francs. Les frais de logement n'avaient pas à être pris en compte, tandis que les frais professionnels et les charges d'assurance-maladie avaient été inclus dans le calcul par le biais des déductions fiscales. Dans tous les cas, le montant des revenus excédait encore de plusieurs dizaines de milliers de francs le revenu annuel de 365'000 fr. correspondant à un montant de 1'000 fr. retenu pour le jour-amende.</w:t>
      </w:r>
    </w:p>
    <w:p>
      <w:r>
        <w:rPr>
          <w:b/>
        </w:rPr>
        <w:t>E. 5.2</w:t>
      </w:r>
    </w:p>
    <w:p>
      <w:r>
        <w:t>Le recourant reproche à la juridiction précédente de n'avoir pas tenu compte dans le cadre de la détermination du montant du jour-amende du montant de ses impôts (au moins 180'000 fr.), du fait qu'il avait encore trois enfants majeurs à charge ainsi que de ses autres frais (logement, assurances, frais d'acquisition du revenu, minimum d'existence). A son avis, le revenu net déterminant pour la fixation du montant du jour-amende ne s'élevait pas à plus de 50'000 francs.</w:t>
      </w:r>
    </w:p>
    <w:p>
      <w:r>
        <w:rPr>
          <w:b/>
        </w:rPr>
        <w:t>E. 5.3.1</w:t>
      </w:r>
    </w:p>
    <w:p>
      <w:r>
        <w:t>Selon l'art. 34 al. 2, 2 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rPr>
          <w:b/>
        </w:rPr>
        <w:t>E. 5.3.2</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BGE 142 IV 315 S. 321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 La notion pénale de revenu au sens de l' 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 ATF 134 IV 60 consid. 6.1 p. 68; arrêt 6B_845/2009 du 11 janvier 2010 consid. 1.1.2, in SJ 2010 I p. 205).</w:t>
      </w:r>
    </w:p>
    <w:p>
      <w:r>
        <w:rPr>
          <w:b/>
        </w:rPr>
        <w:t>E. 5.3.3</w:t>
      </w:r>
    </w:p>
    <w:p>
      <w:r>
        <w:t>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On ne voit pas non plus que l'auteur, qui par ses propres moyens ou en ayant par BGE 142 IV 315 S. 322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 ATF 134 IV 60 consid. 6.2 p. 69; voir également arrêt 6B_83/2010 du 8 juillet 2010 consid. 5.1.3 in fine et 5.2).</w:t>
      </w:r>
    </w:p>
    <w:p>
      <w:r>
        <w:rPr>
          <w:b/>
        </w:rPr>
        <w:t>E. 5.3.4</w:t>
      </w:r>
    </w:p>
    <w:p>
      <w:r>
        <w:t>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 art. 48 let . d CP) ainsi que dans le pronostic pour l'octroi du sursis à la peine pécuniaire (art. 42 al. 1 à 3 CP). Il est exclu d'en tenir compte cumulativement lors de la fixation du montant des jours-amende. Des charges financières extraordinaires peuvent en revanche conduire à une réduction BGE 142 IV 315 S. 323 lorsqu'elles correspondent à des besoins financiers accrus résultant de la situation de l'auteur et indépendants de sa volonté ( ATF 134 IV 60 consid. 6.4 p. 70; arrêt 6B_845/2009 du 11 janvier 2010 consid. 1.1.4, in SJ 2010 I p. 205).</w:t>
      </w:r>
    </w:p>
    <w:p>
      <w:r>
        <w:rPr>
          <w:b/>
        </w:rPr>
        <w:t>E. 5.4</w:t>
      </w:r>
    </w:p>
    <w:p>
      <w:r>
        <w:t>En l'occurrence, le recourant démontre à satisfaction de droit que la juridiction précédente n'a, au moment de fixer le montant du jour-amende, pas soustrait des revenus réalisés les impôts courants dus. Contrairement à ce que soutiennent la juridiction précédente et le Ministère public, il ne se justifie pas de tenir compte de la fortune du recourant; les conditions fixées par la jurisprudence pour qu'elle soit prise en considération ne sont manifestement pas remplies, dès lors qu'il n'est pas établi que le recourant vit de la substance même de sa fortune. De même n'y a-t-il pas lieu d'examiner la prise en considération d'autres charges financières, faute pour le recourant d'établir le caractère erroné de la motivation du jugement attaqué à leur propos. Quant à l'allégation selon laquelle ses trois enfants seraient encore à sa charge, le grief, invoqué pour la première fois devant le Tribunal fédéral, est nouveau et, partant, irrecevable.</w:t>
      </w:r>
    </w:p>
    <w:p>
      <w:r>
        <w:rPr>
          <w:b/>
        </w:rPr>
        <w:t>E. 5.5</w:t>
      </w:r>
    </w:p>
    <w:p>
      <w:r>
        <w:t>Le vice peut être corrigé directement, sans renvoi à l'autorité précédente ( art. 107 al. 2 LTF ). Il ressort du dossier que la charge fiscale découlant d'un revenu net de 440'000 fr. s'élève à env. 210'000 francs. Dans ces conditions, il apparaît adéquat de fixer la valeur du jour-amende à 630 francs.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