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286</w:t>
      </w:r>
    </w:p>
    <w:p>
      <w:r>
        <w:t>Bundesgericht (BGE), 2016-07-27, DE</w:t>
      </w:r>
    </w:p>
    <w:p>
      <w:r>
        <w:rPr>
          <w:b/>
        </w:rPr>
        <w:t xml:space="preserve">Quelle: </w:t>
      </w:r>
      <w:r>
        <w:t>https://mcp.opencaselaw.ch/entscheid/bge_BGE_142_IV_286</w:t>
      </w:r>
    </w:p>
    <w:p>
      <w:r>
        <w:t>FR: ATF 142 IV 286</w:t>
      </w:r>
    </w:p>
    <w:p>
      <w:r>
        <w:t>IT: DTF 142 IV 286</w:t>
      </w:r>
    </w:p>
    <w:p>
      <w:pPr>
        <w:pStyle w:val="Heading2"/>
      </w:pPr>
      <w:r>
        <w:t>Regeste</w:t>
      </w:r>
    </w:p>
    <w:p>
      <w:r>
        <w:t>Regeste Art. 85 Abs. 2 und Abs. 4 lit. a StPO; Zustellfiktion, Erkennbarkeit des Absenders. Damit die Zustellfiktion nach Art. 85 Abs. 4 lit. a StPO greift, muss der Empfänger diejenige Behörde als Absender erkennen können, mit deren Sendung er aufgrund eines bestehenden Prozessrechtsverhältnisses rechnen muss (E. 1.6.2). Dabei ist ausreichend, wenn die Behörde aufgrund der Angaben auf dem Briefumschlag erkennbar ist. Nicht erforderlich ist, dass der Absender auf der Abholungseinladung der Post erkennbar ist, sofern die Sendung nicht zugestellt werden konnte. Es reicht aus, wenn die Sendung per Einschreiben erfolgt (E. 1.6.3).</w:t>
      </w:r>
    </w:p>
    <w:p>
      <w:r>
        <w:t>Regeste Art. 85 al. 2 et al. 4 let. a CPP; notification fictive, caractère reconnaissable de l'expéditeur. Pour que la fiction de notification selon l'art. 85 al. 4 let. a CPP opère, le destinataire doit pouvoir reconnaître que l'expéditeur est l'autorité dont il doit s'attendre à un envoi en raison d'un rapport procédural préexistant (consid. 1.6.2). Il suffit, à cet égard, que l'autorité soit reconnaissable au vu des indications figurant sur l'enveloppe. Il n'est pas nécessaire que l'expéditeur soit reconnaissable sur l'invitation à retirer un envoi émise par la poste, dans l'hypothèse où l'envoi ne pourrait pas être notifié. Un envoi recommandé (lettre signature) suffit (consid. 1.6.3).</w:t>
      </w:r>
    </w:p>
    <w:p>
      <w:r>
        <w:t>Regesto Art. 85 cpv. 2 e cpv. 4 lett. a CPP; finzione della notificazione, riconoscibilità del mittente. Perché possa trovare applicazione la finzione della notificazione giusta l'art. 85 cpv. 4 lett. a CPP, il destinatario deve poter riconoscere che il mittente è l'autorità da cui deve aspettarsi di ricevere un invio in ragione di un rapporto procedurale pendente (consid. 1.6.2). Al riguardo è sufficiente che, sulla base delle indicazioni figuranti sulla busta, l'autorità sia riconoscibile. Nella misura in cui non sia stato possibile recapitare l'invio, non è necessario che sull'invito della Posta a ritirare l'invio il mittente sia riconoscibile. Un invio postale raccomandato è sufficiente (consid. 1.6.3).</w:t>
      </w:r>
    </w:p>
    <w:p>
      <w:pPr>
        <w:pStyle w:val="Heading2"/>
      </w:pPr>
      <w:r>
        <w:t>Erwägungen</w:t>
      </w:r>
    </w:p>
    <w:p>
      <w:r>
        <w:rPr>
          <w:b/>
        </w:rPr>
        <w:t>E. 1</w:t>
      </w:r>
    </w:p>
    <w:p>
      <w:r>
        <w:t>(...) 1.6.1 Der Beschwerdeführer macht geltend, für ihn sei nicht erkennbar gewesen, dass es sich um eine Sendung der Staatsanwaltschaft gehandelt habe, weshalb keine gehörige Zustellung vorliege. Auf dem Abholschein seien lediglich die Sendungsnummer und die Aufgabestelle Schwyz ersichtlich gewesen. 1.6.2 Für die Annahme der Zustellfiktion ist vorauszusetzen, dass der Empfänger diejenige Behörde als Absender erkennen kann, mit deren Sendung er rechnen muss. Da sich die prozessuale Pflicht BGE 142 IV 286 S. 288 einer Partei auf behördliche Akte derjenigen Behörde beschränkt, zu der sie in einem Prozessrechtsverhältnis steht, muss der Absender eindeutig identifizierbar sein (vgl. DANIELA BRÜSCHWEILER, in: Kommentar zur Schweizerischen Strafprozessordnung [StPO], Donatsch/Hansjakob/Lieber [Hrsg.], 2. Aufl. 2014, N. 6 zu Art. 85 StPO ). Gemäss Art. 9 BV hat jede Person Anspruch darauf, von staatlichen Organen "nach Treu und Glauben behandelt zu werden". Dies wird schon in Art. 5 Abs. 3 BV im Rahmen der allgemeinen Grundsätze rechtsstaatlichen Handelns statuiert. Handeln nach Treu und Glauben bedeutet Loyalität und Vertrauenswürdigkeit in allen rechtlichen Beziehungen, wie auch Voraussehbarkeit und Berechenbarkeit des zwischenmenschlichen und staatlichen Verhaltens (RHINOW/SCHEFER, Schweizerisches Verfassungsrecht, 2. Aufl. 2009, Rz. 1989 ff.). Diese Grundsätze machen die eindeutige Identifizierbarkeit des behördlichen Absenders notwendig. Staatliche Organe sind zu Loyalität und Vertrauenswürdigkeit in allen Rechtsbeziehungen sowie zu voraussehbarem und berechenbarem Handeln verpflichtet, so dass eine wechselseitige Abstimmung und Koordination des Verhaltens möglich ist (MÜLLER/SCHEFER, Grundrechte in der Schweiz, 4. Aufl. 2008, S. 25 ff.). Tritt die Behörde in eine Rechtsbeziehung mit den Bürgern, ohne als Behörde erkennbar zu sein, handelt sie weder voraussehbar noch berechenbar und ermöglicht dem Bürger nicht, sein Verhalten nach seinen prozessualen Pflichten auszurichten. Gibt sich die Behörde als Absender einer Sendung nicht zu erkennen, so kann dem Adressaten nicht vorgeworfen werden, er wäre nach Treu und Glauben verpflichtet gewesen, diese zu empfangen. Vielmehr kann er sich seinerseits auf den Vertrauensschutz berufen, um Verfahrensnachteile abzuwenden. Das Prozessrechtsverhältnis verpflichtet die betroffene Person nicht zur Entgegennahme sämtlicher Post, sondern bloss zur Annahme erkennbarer Sendungen derjenigen Behörde, zu der das Prozessrechtsverhältnis besteht (vgl. auch Beschluss BEK 2012 126 des Kantonsgerichts Schwyz vom 14. Juni 2013 in: Entscheide der Gerichts- und Verwaltungsbehörden des Kantons Schwyz 2013 A 5.3 S. 44-46 und Zeitschrift für kantonale Rechtsprechung 2013 A 5.3 Nr. 92 S. 246 f.). 1.6.3 Wie der Beschwerdeführer selber ausführt, waren auf dem Briefumschlag der Staatsanwaltschaft deren Bezeichnung und Anschrift mit Postfach, Ort und Postleitzahl erkennbar. Zwar konnte der Beschwerdeführer davon keine Kenntnis mehr nehmen, weil der BGE 142 IV 286 S. 289 Brief bereits zurückgesandt worden war, als er ihn abholen wollte. Dies hat er sich aber selber zuzuschreiben, da er erst nach Ablauf der siebentägigen Aufbewahrungsfrist bei der Post erschien. Nicht erforderlich ist, dass der Absender der Sendung auf der Abholungseinladung selbst erkennbar ist. Es reicht aus, wenn die Sendung per Einschreiben erfolgt (vgl. Art. 85 Abs. 2 StPO ). Dies war vorliegend der Fall und die beim Beschwerdeführer hinterlegte Abholungseinladung entsprach der üblichen Form. Es kann somit keine Rede davon sein, dass die Vorinstanz die Zustellfiktion falsch angewendet hätte, weil der behördliche Absender nicht eindeutig identifizierbar gewesen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