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281</w:t>
      </w:r>
    </w:p>
    <w:p>
      <w:r>
        <w:t>Bundesgericht (BGE), 2016-05-25, DE</w:t>
      </w:r>
    </w:p>
    <w:p>
      <w:r>
        <w:rPr>
          <w:b/>
        </w:rPr>
        <w:t xml:space="preserve">Quelle: </w:t>
      </w:r>
      <w:r>
        <w:t>https://mcp.opencaselaw.ch/entscheid/bge_BGE_142_IV_281</w:t>
      </w:r>
    </w:p>
    <w:p>
      <w:r>
        <w:t>FR: ATF 142 IV 281</w:t>
      </w:r>
    </w:p>
    <w:p>
      <w:r>
        <w:t>IT: DTF 142 IV 281</w:t>
      </w:r>
    </w:p>
    <w:p>
      <w:pPr>
        <w:pStyle w:val="Heading2"/>
      </w:pPr>
      <w:r>
        <w:t>Regeste</w:t>
      </w:r>
    </w:p>
    <w:p>
      <w:r>
        <w:t>Regeste Berichtigung von Entscheiden (Art. 83 StPO). Fall, in dem die beschuldigte Person in einem ohne Urteilsbegründung zugestellten Dispositiv des erstinstanzlichen Entscheids wegen eines Vergehens und einer Übertretung lediglich zu einer Busse verurteilt wurde. Die Ausfällung auch einer Geldstrafe für das Vergehen kann nicht im Verfahren der Berichtigung erfolgen (E. 1).</w:t>
      </w:r>
    </w:p>
    <w:p>
      <w:r>
        <w:t>Regeste Rectification des prononcés (art. 83 CPP). Cas dans lequel un prévenu est condamné à une simple amende pour un délit et une contravention par un dispositif de jugement de première instance notifié sans motivation. Le prononcé supplémentaire d'une peine pécuniaire pour le délit ne peut pas résulter d'une procédure de rectification (consid. 1).</w:t>
      </w:r>
    </w:p>
    <w:p>
      <w:r>
        <w:t>Regesto Rettifica delle decisioni (art. 83 CPP). Caso in cui nel dispositivo del giudizio di primo grado, notificato senza la motivazione, l'imputato è riconosciuto colpevole di un delitto e di una contravvenzione e condannato unicamente a una multa. La condanna anche a una pena pecuniaria per il delitto non può essere pronunciata nell'ambito della procedura di rettifica (consid. 1).</w:t>
      </w:r>
    </w:p>
    <w:p>
      <w:pPr>
        <w:pStyle w:val="Heading2"/>
      </w:pPr>
      <w:r>
        <w:t>Erwägungen</w:t>
      </w:r>
    </w:p>
    <w:p>
      <w:r>
        <w:rPr>
          <w:b/>
        </w:rPr>
        <w:t>E. 1.1</w:t>
      </w:r>
    </w:p>
    <w:p>
      <w:r>
        <w:t>Der Beschwerdeführer macht geltend, der dem Dispositiv des Entscheids der ersten Instanz vom 9. April 2015 nach Meinung der kantonalen Instanzen anhaftende Fehler lasse sich entgegen deren Auffassung nicht auf dem Wege der Berichtigung im Sinne von Art. 83 Abs. 1 StPO beheben.</w:t>
      </w:r>
    </w:p>
    <w:p>
      <w:r>
        <w:rPr>
          <w:b/>
        </w:rPr>
        <w:t>E. 1.2</w:t>
      </w:r>
    </w:p>
    <w:p>
      <w:r>
        <w:t>Ist das Dispositiv eines Entscheides unklar, widersprüchlich oder unvollständig oder steht es mit der Begründung im Widerspruch, so nimmt die Strafbehörde, die den Entscheid gefällt hat, auf Gesuch einer Partei oder von Amtes wegen eine Erläuterung oder Berichtigung des Entscheids vor ( Art. 83 Abs. 1 StPO ). Praktisch gleich lautet Art. 334 Abs. 1 ZPO . Ähnlich lautet Art. 129 BGG . Die erste Instanz wies in ihrem Berichtigungsbeschluss vom 14. April 2015 darauf hin, dass der Beschwerdeführer gemäss dem Dispositiv des Urteils vom 9. April 2015 der fahrlässigen Erwerbstätigkeit ohne Bewilligung und der vorsätzlichen Missachtung der Ausgrenzung schuldig gesprochen und dafür mit einer Busse von CHF 600.- bestraft wurde. Für die vorsätzliche Missachtung einer Ausgrenzung drohe Art. 119 Abs. 1 AuG aber Freiheitsstrafe bis zu drei Jahren oder Geldstrafe an. Eine solche sei im Urteilsdispositiv indessen nicht ausgesprochen worden. Dieses sei daher unvollständig. Es sei deshalb gestützt auf Art. 83 Abs. 1 StPO zu berichtigen. Die Vorinstanz erwägt, eine Berichtigung sei unter anderem möglich, wenn hinreichend klar sei, dass das Urteilsdispositiv nicht mit BGE 142 IV 281 S. 284 dem Willen des Gerichts übereinstimmen könne. Dies sei hier der Fall. Bei einer Verurteilung wegen fahrlässiger Erwerbstätigkeit ohne Bewilligung und wegen vorsätzlicher Missachtung der Ausgrenzung sei neben einer Busse für Erstere zwingend eine Freiheits- oder Geldstrafe für Letztere auszusprechen, es lägen denn insoweit Strafmilderungsgründe vor, welche jedoch im erstinstanzlichen Verfahren nicht behauptet worden und auch nicht ersichtlich seien. Da offensichtlich keine Strafmilderungsgründe vorlägen, habe der Beschwerdeführer davon ausgehen müssen, dass die Strafe für die vorsätzliche Missachtung der Ausgrenzung aufgrund eines Versehens der ersten Instanz im Dispositiv vergessen gegangen sei. Unter diesen Umständen sei ohne Weiteres erkennbar, dass eine blosse Busse mit dem erkannten Schuldspruch in offensichtlichem Widerspruch stehe.</w:t>
      </w:r>
    </w:p>
    <w:p>
      <w:r>
        <w:rPr>
          <w:b/>
        </w:rPr>
        <w:t>E. 1.3</w:t>
      </w:r>
    </w:p>
    <w:p>
      <w:r>
        <w:t>Erläuterung und Berichtigung bezwecken nicht die materielle Überprüfung eines Entscheids, sondern dessen Klarstellung beziehungsweise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(Urteil 6B_727/2012 vom 11. März 2013 E. 4.2.1). Es muss sich mit andern Worten um einen Fehler im Ausdruck und nicht in der Willensbildung des Gerichts handeln. Eine Entscheidung, die so gewollt war, wie sie ausgesprochen wurde, die aber auf einer irrtümlichen Sachverhaltsfeststellung oder auf einem Rechtsfehler beruht, kann nicht berichtigt werden (NILS STOHNER, in: Basler Kommentar, Schweizerische Strafprozessordnung, 2. Aufl. 2014, N. 3 zu Art. 83 StPO ; DANIELA BRÜSCHWEILER, in: Kommentar zur Schweizerischen Strafprozessordnung [StPO], 2. Aufl. 2014, N. 3 zu Art. 83 StPO ).</w:t>
      </w:r>
    </w:p>
    <w:p>
      <w:r>
        <w:rPr>
          <w:b/>
        </w:rPr>
        <w:t>E. 1.4</w:t>
      </w:r>
    </w:p>
    <w:p>
      <w:r>
        <w:t>Das Gesetz droht für die fahrlässige Ausübung einer nicht bewilligten Erwerbstätigkeit Busse an (Art. 115 Abs. 1 lit. c i.V.m. Art. 115 Abs. 3 AuG). Es droht für die vorsätzliche Missachtung der Ein- oder Ausgrenzung Freiheitsstrafe bis zu drei Jahren oder Geldstrafe an (Art. 119 Abs. 1 AuG). Der Beschwerdeführer wurde wegen beider Taten verurteilt. Er hätte daher sowohl mit einer Freiheits- oder Geldstrafe als auch mit einer Busse bestraft werden müssen, es sei denn, es lägen in Bezug auf die Missachtung der Ein- oder Ausgrenzung Strafmilderungsgründe vor. Er wurde indessen gemäss dem Dispositiv des erstinstanzlichen Entscheids vom 9. April 2015 lediglich mit einer Busse bestraft. BGE 142 IV 281 S. 285</w:t>
      </w:r>
    </w:p>
    <w:p>
      <w:r>
        <w:rPr>
          <w:b/>
        </w:rPr>
        <w:t>E. 1.5</w:t>
      </w:r>
    </w:p>
    <w:p>
      <w:r>
        <w:t>Im Zeitpunkt der Zustellung des Dispositivs des erstinstanzlichen Urteils vom 9. April 2015 war unklar, ob dieses überhaupt einen Fehler enthielt und ob ein allfälliger Fehler auf einem Mangel in der Willensbildung des Gerichts oder auf einem Mangel im Ausdruck des Willens beruhte. Darüber konnte nur spekuliert werden, zumal keine schriftliche Urteilsbegründung vorlag. Die Ausfällung lediglich einer Busse bei Schuldsprüchen wegen fahrlässiger Erwerbstätigkeit ohne Bewilligung und wegen vorsätzlicher Missachtung der Ein- oder Ausgrenzung wäre fehlerfrei gewesen, wenn in Bezug auf den Vergehenstatbestand der vorsätzlichen Missachtung der Ein- oder Ausgrenzung ein Strafmilderungsgrund vorgelegen und die erste Instanz diesen dergestalt berücksichtigt hätte, dass sie statt einer Geldstrafe lediglich eine Busse ausfällte. Bei Fehlen eines Strafmilderungsgrundes hätte auch eine Freiheits- oder Geldstrafe ausgesprochen werden müssen und wäre die Ausfällung lediglich einer Busse fehlerhaft gewesen. Dieser Fehler hätte auf einem Mangel in der Willensbildung der ersten Instanz beruht, wenn diese rechtsfehlerhaft angenommen hätte, dass die Straftat der vorsätzlichen Missachtung der Ein- oder Ausgrenzung - wie die Straftat der fahrlässigen Erwerbstätigkeit ohne Bewilligung - lediglich eine Übertretung und daher eine Busse auszufällen sei. Der Fehler hätte hingegen auf einem Mangel im Willensausdruck beruht, wenn die erste Instanz zwar richtigerweise davon ausgegangen wäre, dass für die vorsätzliche Missachtung der Ein- oder Ausgrenzung, da kein Strafmilderungsgrund vorlag, eine Freiheits- oder Geldstrafe auszufällen sei, sie diese aber im Urteilsdispositiv versehentlich nicht erwähnt hätte. Ob der Beschwerdeführer im Dispositiv des erstinstanzlichen Urteils vom 9. April 2015 aus diesem oder jenem oder aus einem dritten Grunde nicht auch zu einer Freiheits- oder Geldstrafe verurteilt wurde, hängt somit von diversen rechtlichen Überlegungen beziehungsweise von einer materiellen Prüfung ab und bleibt spekulativ. Eine Berichtigung im Sinne von Art. 83 Abs. 1 StPO kann indessen nicht auf rechtliche Überlegungen und nicht auf Spekulationen gegründet werden. Es ist im vorliegenden Fall nicht eindeutig, dass die erste Instanz lediglich einen Fehler im Willensausdruck beging, indem sie den Beschwerdeführer im Dispositiv nicht auch zu einer Freiheits- oder Geldstrafe verurteilte. Die Berichtigung war daher nicht zulässig. Die Vorinstanz verletzt Bundesrecht, indem sie erkennt, die erste Instanz habe das Dispositiv ihres Urteils vom 9. April 2015 auf dem Weg der Berichtigung dergestalt abändern dürfen, dass sie zusätzlich BGE 142 IV 281 S. 286 zur Busse von CHF 600.- auch eine Geldstrafe von 30 Tagessätzen zu je CHF 10.- ausfällte.</w:t>
      </w:r>
    </w:p>
    <w:p>
      <w:r>
        <w:rPr>
          <w:b/>
        </w:rPr>
        <w:t>E. 1.6</w:t>
      </w:r>
    </w:p>
    <w:p>
      <w:r>
        <w:t>Die Beschwerde ist daher in diesem Punkt gutzuheissen, das Urteil des Kantonsgerichts von Graubünden vom 3. November 2015 aufzuheben und die Sache an die Vorinstanz zurückzuweisen, damit diese den Berichtigungsbeschluss der ersten Instanz vom 14. April 2015 aufhebe.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