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23</w:t>
      </w:r>
    </w:p>
    <w:p>
      <w:r>
        <w:t>Bundesgericht (BGE), 2016-01-18, DE</w:t>
      </w:r>
    </w:p>
    <w:p>
      <w:r>
        <w:rPr>
          <w:b/>
        </w:rPr>
        <w:t xml:space="preserve">Quelle: </w:t>
      </w:r>
      <w:r>
        <w:t>https://mcp.opencaselaw.ch/entscheid/bge_BGE_142_IV_23</w:t>
      </w:r>
    </w:p>
    <w:p>
      <w:r>
        <w:t>FR: ATF 142 IV 23</w:t>
      </w:r>
    </w:p>
    <w:p>
      <w:r>
        <w:t>IT: DTF 142 IV 23</w:t>
      </w:r>
    </w:p>
    <w:p>
      <w:pPr>
        <w:pStyle w:val="Heading2"/>
      </w:pPr>
      <w:r>
        <w:t>Regeste</w:t>
      </w:r>
    </w:p>
    <w:p>
      <w:r>
        <w:t>Regeste Art. 31, 141 Abs. 2 und 3, Art. 216 Abs. 1 StPO; Verwertbarkeit einer von der örtlich nicht zuständigen Kantonspolizei angeordneten Blutprobe; Nacheile. Die Zuständigkeitsordnung dient der Wahrung der Souveränität des Kantons bei der Organisation der polizeilichen Aufgaben. Ihrer Missachtung kommt gegenüber der Durchsetzung des Strafverfolgungsinteresses ein geringeres Gewicht zu (E. 3.2). Die Kontrolle eines Fahrzeuglenkers auf seine Fahrfähigkeit dient der Verkehrssicherheit. Bei ihr besteht als unaufschiebbare Massnahme - namentlich im Grenzgebiet zweier Kantone - stets eine gewisse Dringlichkeit. Der Anhaltung und Kontrolle des Fahrzeuglenkers durch die unzuständige Polizei kommt lediglich die Bedeutung der Verletzung einer blossen Ordnungsvorschrift zu (E. 3.2).</w:t>
      </w:r>
    </w:p>
    <w:p>
      <w:r>
        <w:t>Regeste Art. 31, 141 al. 2 et 3, art. 216 al. 1 CPP; exploitation d'une prise de sang ordonnée par une police cantonale n'étant pas compétente à raison du lieu; droit de suite. La réglementation de la compétence vise à préserver la souveraineté du canton en matière d'organisation des fonctions policières. Il sied d'accorder peu de poids à la violation d'une telle règle du point de vue de l'intérêt de la poursuite pénale (consid. 3.2). Le contrôle de la capacité de conduire d'un conducteur de véhicule automobile a pour but de favoriser la sécurité routière. Compte tenu du caractère pressant de cette mesure - notamment à la frontière de deux cantons - elle implique toujours une certaine urgence. L'appréhension et le contrôle du conducteur par une police qui n'est pas compétente à raison du lieu ne violent qu'une simple prescription d'ordre (consid. 3.2).</w:t>
      </w:r>
    </w:p>
    <w:p>
      <w:r>
        <w:t>Regesto Art. 31, 141 cpv. 2 e 3, art. 216 cpv. 1 CPP; utilizzabilità di una prova del sangue ordinata dalla polizia cantonale non competente ratione loci; inseguimento. La regolamentazione della competenza tende a salvaguardare la sovranità del Cantone nell'organizzazione dei compiti di polizia. La sua inosservanza riveste un'importanza minore rispetto alla tutela dell'interesse al perseguimento penale (consid. 3.2). Il controllo della capacità di condurre di un conducente serve alla sicurezza della circolazione. Considerato il suo carattere improcrastinabile - soprattutto alla frontiera tra due Cantoni - la misura implica sempre una certa urgenza. Il fermo e il controllo del conducente ad opera di una polizia non competente costituiscono una violazione di una mera prescrizione d'ordine (consid. 3.2).</w:t>
      </w:r>
    </w:p>
    <w:p>
      <w:pPr>
        <w:pStyle w:val="Heading2"/>
      </w:pPr>
      <w:r>
        <w:t>Erwägungen</w:t>
      </w:r>
    </w:p>
    <w:p>
      <w:r>
        <w:rPr>
          <w:b/>
        </w:rPr>
        <w:t>E. 3.1</w:t>
      </w:r>
    </w:p>
    <w:p>
      <w:r>
        <w:t>Nach der zutreffenden Auffassung der kantonalen Instanzen ergibt sich die Zuständigkeit der Behörden des Kantons Appenzell Ausserrhoden zur Führung des Verfahrens daraus, dass das Untersuchungsamt Gossau das Verfahren an die Staatsanwaltschaft Appenzell Ausserrhoden abgetreten hat und die Behörden insofern im Sinne von Art. 38 Abs. 1 StPO einen abweichenden Gerichtsstand vereinbart haben. Indes steht im zu beurteilenden Fall nicht die Zuständigkeit der Ausserrhoder Behörden in Frage. Gegenstand des Verfahrens bildet vielmehr, ob die von den Beamten der Kantonspolizei St. Gallen auf dem Gebiet des Kantons Appenzell Ausserrhoden angeordnete Blutprobe als Beweis für die Angetrunkenheit des Beschwerdegegners verwertet werden darf.</w:t>
      </w:r>
    </w:p>
    <w:p>
      <w:r>
        <w:rPr>
          <w:b/>
        </w:rPr>
        <w:t>E. 3.2</w:t>
      </w:r>
    </w:p>
    <w:p>
      <w:r>
        <w:t>Im zu beurteilenden Fall begann die Trunkenheitsfahrt des Beschwerdegegners auf dem Gebiet des Kantons St. Gallen, wo dieser mit seinem Personenwagen vom Parkplatz einer Bar, die er zuvor besucht hatte, wegfuhr, und dauerte bis zu seiner Anhaltung auf dem Gebiet des Kantons Appenzell Ausserrhoden. Dabei steht ausser Frage, dass der Beschwerdegegner ohne weiteres von der örtlich zuständigen Polizei hätte kontrolliert werden dürfen und der Beweis somit von der Strafverfolgungsbehörde korrekt hätte erhoben werden können (Art. 3 Abs. 1 Satz 1 der Verordnung vom 28. März 2007 über die Kontrolle des Strassenverkehrs [SKV; SR 741.013]). Denn nach Art. 55 Abs. 1 SVG können Automobilisten und andere Fahrzeuglenker ohne konkreten Anlass einer Alkoholkontrolle unterzogen werden. Die Beteiligung an einem Unfall oder eine auffällige Fahrweise oder andere Anzeichen von Angetrunkenheit sind nicht mehr erforderlich (vgl. aArt. 55 Abs. 2 SVG in der Fassung vom 20. März 1975, in Kraft bis 31. Dezember 2004; FAHRNI/HEIMGARTNER, in: Basler Kommentar, Strassenverkehrsgesetz, 2014, N. 11 zu Art. 55 SVG ). Da der Beschwerdegegner, nachdem er sich mit seinem Fahrausweis ausgewiesen hatte, die Mitwirkung an einem Atemalkoholtest verweigert und selber eine Blutuntersuchung verlangt hat, ist auch die Anordnung der Blutprobe an sich nicht zu beanstanden ( Art. 55 Abs. 3 lit. b SVG ; Art. 11 f. SKV; vgl. auch Art. 55 Abs. 3 lit. c SVG in der Fassung vom 29. November 2013; AS 2013 4669 [Inkrafttreten am 1. Oktober 2016]). BGE 142 IV 23 S. 27 Es trifft allerdings zu, dass die Polizeibeamten der Kantonspolizei St. Gallen auf dem Gebiet des Kantons Appenzell Ausserrhoden für die Anhaltung und Anordnung einer Blutprobe nicht zuständig waren. Insofern ist, wie die Vorinstanz zu Recht annimmt, die Kontrolle des Beschwerdegegners grundsätzlich rechtswidrig erfolgt. Indes sind die Regeln über die Zuständigkeit nicht im Hinblick auf die Gewährleistung eines fairen Verfahrens aufgestellt worden. Die Zuständigkeitsordnung schützt nicht die Interessen der beschuldigten Person im Rahmen der Beweiserhebung, sondern dient der Wahrung der Souveränität des Kantons bei der Organisation der polizeilichen Aufgaben (vgl. Urteil des Bundesgerichts P.1152/1987 vom 10. Dezember 1987 E. 3a, in: ZBl 90/1989 S. 418 ff., zit. in NAY/THOMMEN, in: Basler Kommentar, Strafrecht, Bd. II, 2. Aufl. 2007, N. 4 zu Art. 360 StGB ; vgl. auch SJZ 108/2012 S. 124). Es lässt sich somit nicht sagen, die mit der Beweisregel geschützten Interessen des Beschwerdegegners hätten Vorrang gegenüber dem Interesse an der Wahrheitsfindung und es bedürfe der Unverwertbarkeit der erhobenen Beweise, um die Rechte des Beschwerdegegners zu wahren (vgl. BGE 141 IV 20 E. 1.2.3; BGE 139 IV 128 E. 1.6; ferner BGE 137 I 218 E. 2.3.4; ferner SCHMID, Schweizerische Strafprozessordnung, Praxiskommentar, 2. Aufl. 2013, N. 11 zu Art. 141 StPO ). Der Missachtung der Zuständigkeitsregelung ist daher weniger Bedeutung beizumessen als der Durchsetzung des Strafverfolgungsinteressses (so Urteil des Bundesgerichts P.1152/1987 vom 10. Dezember 1987 E. 3a/bb, in: ZBl 90/1989 S. 418 ff., 423; vgl. auch Urteil 1B_22/2012 vom 11. Mai 2012 E. 4.2.2, mit Hinweisen [zu von Privaten erstellten Beweismitteln]). Im Übrigen bestehen keine Anhaltspunkte dafür, dass sich die Beamten vorsätzlich und rechtsmissbräuchlich über die gesetzliche Zuständigkeitsordnung hinweggesetzt hätten (vgl. auch BGE 139 IV 128 E. 1.7). Die Vorinstanz geht vielmehr davon aus, dass die Polizeibeamten sich über den Grenzverlauf bzw. über den genauen Ort der Kontrolle bei der Anhaltung des Beschwerdegegners im Irrtum befanden. Darüber hinaus ist polizeiliches Handeln auf dem Gebiet eines anderen Kantons nicht schlechterdings ausgeschlossen. Denn gemäss Art. 216 Abs. 1 StPO ist die Polizei berechtigt, in dringenden Fällen den eigenen örtlichen Zuständigkeitsbereich zu überschreiten und eine im Sinne von Art. 111 Abs. 1 StPO einer Straftat verdächtige Person auf dem Gebiet eines anderen Kantons zu verfolgen und anzuhalten (Nacheile; aArt. 360 Abs. 1 StGB [in der Fassung BGE 142 IV 23 S. 28 vom 13. Dez. 2002, in Kraft bis 31. Dezember 2010]; vgl. auch aArt. 356 Abs. 1 StGB in der bis 31. Dezember 2006 geltenden Fassung). Will die Polizei einen Fahrzeuglenker auf seine Fahrfähigkeit kontrollieren, besteht grundsätzlich stets eine gewisse Dringlichkeit, da die Gefahr besteht, dass sie den Fahrer aus den Augen verliert und nicht mehr anhalten kann. Wie die Beschwerdeführerin zu Recht ausführt, besteht diese Gefahr in besonderem Masse im Grenzgebiet zweier Kantone, da die örtlich zuständige Polizei nach einer Benachrichtigung der Polizei des anderen Kantons vielfach für eine Amtshilfe nicht bereitstehen wird, so dass eine Anhaltung aus zeitlichen Gründen nicht möglich ist. Insofern ist eine Dringlichkeit durchaus gegeben. Die Kontrolle der Strassenverkehrsteilnehmer auf ihre Fahrfähigkeit liegt im öffentlichen Interesse. Sie dient der Fernhaltung bzw. Aussonderung fahrunfähiger Fahrzeuglenker vom Strassenverkehr und damit der Verkehrssicherheit. Sie muss als unaufschiebbare Massnahme auch bei einer Konstellation, wie sie dem zu beurteilenden Fall zugrunde liegt, bei welcher die zu kontrollierende Person spät abends mit ihrem Personenwagen von einer Bar wegfährt, zulässig sein, auch wenn die Anhaltung irrtümlich erst auf fremdem Kantonsgebiet erfolgt. Vor diesem Hintergrund und unter Berücksichtigung der konkreten Umstände ist die Anhaltung und Kontrolle durch die örtlich unzuständige Polizei als Verletzung einer blossen Ordnungsvorschrift im Sinne von Art. 141 Abs. 3 StPO zu verstehen. Soweit die Vorinstanz annimmt, die dem Beschwerdegegner abgenommene Blutprobe sei zum Nachweis seiner Fahrunfähigkeit unverwertbar, verletzt das angefochtene Urteil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