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35</w:t>
      </w:r>
    </w:p>
    <w:p>
      <w:r>
        <w:t>Bundesgericht (BGE), 2015-11-26, DE</w:t>
      </w:r>
    </w:p>
    <w:p>
      <w:r>
        <w:rPr>
          <w:b/>
        </w:rPr>
        <w:t xml:space="preserve">Quelle: </w:t>
      </w:r>
      <w:r>
        <w:t>https://mcp.opencaselaw.ch/entscheid/bge_BGE_142_II_35</w:t>
      </w:r>
    </w:p>
    <w:p>
      <w:r>
        <w:t>FR: ATF 142 II 35</w:t>
      </w:r>
    </w:p>
    <w:p>
      <w:r>
        <w:t>IT: DTF 142 II 35</w:t>
      </w:r>
    </w:p>
    <w:p>
      <w:pPr>
        <w:pStyle w:val="Heading2"/>
      </w:pPr>
      <w:r>
        <w:t>Regeste</w:t>
      </w:r>
    </w:p>
    <w:p>
      <w:r>
        <w:t>Regeste Art. 24 Anhang I FZA; Art. 16 Abs. 2 FZA; Art. 26 und 27 VRK; Art. 121a BV; Art. 8 EMRK; Verhältnis von Art. 121a BV zum Freizügigkeitsabkommen und seiner bisherigen Auslegung. Auslegungsgrundsätze völkerrechtlicher Verträge; völkergewohnheitsrechtlicher Grundsatz pacta sunt servanda (E. 3.2). Fehlende direkte Anwendbarkeit von Art. 121a BV und Bestätigung der Rechtsprechung, wonach die sog. Schubert-Praxis im Freizügigkeitsrecht zwischen der Schweiz und der EU keine Anwendung findet (E. 3.2 und 3.3). Verhältnis von Art. 121a BV zur ständigen Auslegungspraxis des FZA (E. 3.3). Keine Anwendung von Art. 3 Abs. 6 Anhang I FZA unter den Umständen des Falles (E. 4); Bestätigung der Rechtsprechung i.S. Zhu und Chen zu Art. 24 Anhang I FZA (E. 5). Voraussetzungen unter dem Gesichtswinkel von Art. 8 EMRK bei Ersuchen des sorge- oder obhutsberechtigten Elternteils um Bewilligung (einzig) zwecks Erleichterung der Ausübung des Besuchsrechts zwischen dem Kind und dem anderen Elternteil (E. 6).</w:t>
      </w:r>
    </w:p>
    <w:p>
      <w:r>
        <w:t>Regeste Art. 24 Annexe I ALCP; art. 16 al. 2 ALCP; art. 26 et 27 de la Convention de Vienne sur le droit des traités; art. 121a Cst.; art. 8 CEDH; rapport entre l'art. 121a Cst. et l'Accord sur la libre circulation ainsi que l'interprétation qui en a été faite jusqu'ici. Principes d'interprétation des traités internationaux; principe de droit coutumier international pacta sunt servanda (consid. 3.2). L'art. 121a Cst. n'est pas directement applicable; confirmation de la jurisprudence selon laquelle la pratique Schubert ne s'applique pas au droit de la libre circulation entre la Suisse et l'UE (consid. 3.2 et 3.3). Rapport entre l'art. 121a Cst. et l'interprétation constante de l'ALCP (consid. 3.3). L'art. 3 al. 6 Annexe I ALCP ne s'applique pas dans les circonstances du cas d'espèce (consid. 4); confirmation de la jurisprudence Zhu et Chen en relation avec l'art. 24 Annexe I ALCP (consid. 5). Examen, au regard de l'art. 8 CEDH, des conditions d'octroi d'une autorisation lorsque le parent détenteur du droit de garde ou de l'autorité parentale la sollicite (uniquement) afin de faciliter l'exercice du droit de visite entre l'enfant et l'autre parent (consid. 6).</w:t>
      </w:r>
    </w:p>
    <w:p>
      <w:r>
        <w:t>Regesto Art. 24 Allegato I ALC; art. 16 cpv. 2 ALC; art. 26 e 27 della Convenzione di Vienna sul diritto dei trattati; art. 121a Cost.; art. 8 CEDU; rapporto tra l'art. 121a Cost. e l'Accordo sulla libera circolazione e l'interpretazione fattane finora. Principi d'interpretazione dei trattati internazionali; principio di diritto consuetudinario internazionale pacta sunt servanda (consid. 3.2). L'art. 121a Cost. non è direttamente applicabile; conferma della giurisprudenza secondo cui la cosiddetta prassi Schubert non si applica nel diritto della libera circolazione tra la Svizzera e l'UE (consid. 3.2 e 3.3). Rapporto tra l'art. 121a Cost. e l'interpretazione costante dell'ALC (consid. 3.3). L'art. 3 cpv. 6 Allegato I ALC non si applica nelle circostanze del caso di specie (consid. 4); conferma della giurisprudenza Zhu e Chen in relazione con l'art. 24 Allegato I ALC (consid. 5). Esame, dal profilo dell'art. 8 CEDU, delle condizioni di rilascio di un'autorizzazione quando il genitore che possiede il diritto di custodia o l'autorità parentale ne fa richiesta (unicamente) al fine di facilitare l'esercizio del diritto di visita tra il bambino e l'altro genitore (consid. 6).</w:t>
      </w:r>
    </w:p>
    <w:p>
      <w:pPr>
        <w:pStyle w:val="Heading2"/>
      </w:pPr>
      <w:r>
        <w:t>Erwägungen</w:t>
      </w:r>
    </w:p>
    <w:p>
      <w:r>
        <w:rPr>
          <w:b/>
        </w:rPr>
        <w:t>E. 3.1</w:t>
      </w:r>
    </w:p>
    <w:p>
      <w:r>
        <w:t>Beschwerdeführer wie Vorinstanz beziehen sich auf das Abkommen vom 21. Juni 1999 zwischen der Schweizerischen Eidgenossenschaft einerseits und der Europäischen Gemeinschaft und ihren Mitgliedstaaten andererseits über die Freizügigkeit (Freizügigkeitsabkommen, FZA; SR 0.142.112.681) und dessen Auslegung durch das Bundesgericht. Am 9. Februar 2014 ist durch Annahme in der Volksabstimmung Art. 121a BV in Kraft getreten. Es stellt sich vorweg die Frage, in welchem Verhältnis der neue Verfassungsartikel zum Freizügigkeitsabkommen und seiner bisherigen Auslegung steht. BGE 142 II 35 S. 38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140 II 112 E. 3.2 S. 117, BGE 136 II 364 E. 5.3 S. 372; BGE 139 II 393 E. 4.1.1 S. 397 f.; BGE 136 II 5 E. 3.4 S. 12 f., BGE 136 II 65 E. 3.1 S. 70 f.). Nach Art. 121a BV steuert die Schweiz die Zuwanderung eigenständig (Abs. 1) und wird die Zahl der Bewilligungen für den Aufenthalt von Ausländerinnen und Ausländern durch jährliche Höchstzahlen und Kontingente begrenzt (Abs. 2). Abs. 4 des Verfassungsartikels sieht vor, dass keine völkerrechtlichen Verträge abgeschlossen werden, welche gegen diesen Artikel verstossen. Die Übergangsbestimmung zu Art. 121a BV sieht sodann vor, dass widersprechende völkerrechtliche Verträge innerhalb von drei Jahren neu zu verhandeln und anzupassen sind ( Art. 197 Ziff. 11 Abs. 1 BV ) sowie dass, sofern die Ausführungsgesetzgebung innert drei Jahren noch nicht in Kraft treten kann, der Bundesrat vorübergehend Ausführungsbestimmungen auf dem Verordnungsweg erlässt (Abs. 2). Die neue Verfassungsbestimmung bedarf damit der Umsetzung durch Verhandlung mit den Vertragsparteien und durch Gesetzgebung. Sie ist im konkreten Streitfall durch den Richter nicht direkt anwendbar.</w:t>
      </w:r>
    </w:p>
    <w:p>
      <w:r>
        <w:rPr>
          <w:b/>
        </w:rPr>
        <w:t>E. 3.2</w:t>
      </w:r>
    </w:p>
    <w:p>
      <w:r>
        <w:t>Immerhin liesse sich erwägen, das Abkommen im Lichte der Zielsetzung der Verfassungsbestimmung restriktiv auszulegen oder aber triftige Gründe anzunehmen, welche nahelegen, die Rechtsprechung des EuGH, soweit sie nach dem Unterzeichnungsdatum erfolgt ist, nicht mehr zu befolgen. Völkerrechtliche Verträge sind indes nicht nach Massgabe des innerstaatlichen Rechts auszulegen, sondern nach Treu und Glauben (vgl. Art. 26 und 31 Abs. 1 des Wiener Übereinkommens vom 23. Mai 1969 über das Recht der Verträge [VRK; SR 0.111]), denn keine Vertragspartei kann sich auf BGE 142 II 35 S. 39 ihr innerstaatliches Recht berufen, um die Nichterfüllung eines Vertrags zu rechtfertigen ( Art. 27 VRK ). Die völkerrechtliche Verpflichtung, eingegangene Verträge nach Treu und Glauben zu halten, ohne sich dieser Verpflichtung gestützt auf landesrechtliche Vorgaben wieder zu entziehen, ist auch gewohnheitsrechtlich anerkannt (MARK E. VILLIGER, Commentary on the 1969 Vienna Convention on the Law of Treaties, Leiden/Boston 2009, S. 366, 374 f.; JEAN SALMON sowie ANNEMIE SCHAUS, in: Les Conventions de Vienne sur le droit des traités, Corten/Klein [Hrsg.], 2006, S. 1081 bzw. S. 1124). Mit dem Freizügigkeitsabkommen und den weiteren sektoriellen Abkommen ist die Schweiz zwar nicht Teil des gesamten Binnenmarkts geworden, doch beteiligt sie sich, soweit die Abkommen reichen, immerhin sektoriell am gemeinsamen Markt. Eine solche sektorielle Teilhabe am Binnenmarkt ist aber nur möglich und funktionsfähig, wenn die massgebenden Normen, soweit sie Gegenstand des FZA bilden, einheitlich verstanden werden und der EuGH auf der einen (vgl. Urteil des EuGH vom 6. Oktober 2011 C-506/10 Graf und Engel , Slg. 2011 I-09345 Randnr. 33) und das Bundesgericht auf der anderen Seite nicht ohne sachliche Gründe von einem gemeinsamen Verständnis der verwendeten Begriffe im Rahmen des freizügigkeitsrechtlich übernommenen "Acquis communautaire" abweichen. In Übereinstimmung mit Art. 27 VRK gehen in der Rechtsanwendung völkerrechtliche Normen widersprechendem Landesrecht vor ( BGE 139 I 16 E. 5.1 S. 28; BGE 138 II 524 E. 5.1 S. 532 f., mit weiteren Hinweisen). Dieser Grundsatz hat lediglich insofern eine Ausnahme erfahren, als der Gesetzgeber bewusst die völkerrechtliche Verpflichtung missachten und insofern auch die politische Verantwortung dafür bewusst tragen wollte ( BGE 99 Ib 39 E. 3 und 4 S. 44 f. ["Schubert"]; BGE 138 II 524 E. 5.3.2 S. 534 f.). Diese Ausnahme gilt nicht, wenn menschenrechtliche Verpflichtungen der Schweiz in Frage stehen ( BGE 125 II 417 E. 4d S. 425 ["PKK"]; BGE 139 I 16 E. 5.1 S. 28 f.); diesfalls geht die völkerrechtliche Norm der nationalen Regelung auch dann vor, wenn der schweizerische Gesetzgeber sie missachten will. Auch im Zusammenhang mit dem Freizügigkeitsabkommen hat das Bundesgericht entschieden, dass diesem gegenüber bewusst abweichendem Gesetzesrecht der Vorrang zukommt. Das Gericht begründete dies damit, dass das Freizügigkeitsabkommen demokratisch (durch Annahme in der Volksabstimmung) legitimiert sei, dieses den unter das Abkommen fallenden Personen gerichtlichen Rechtsschutz garantiere, was toter Buchstabe bliebe, wenn BGE 142 II 35 S. 40 die Gerichte abweichendes nationales Recht anwenden müssten, und schliesslich, dass die Vertragsstaaten der EU ihrerseits verpflichtet seien, dem Abkommen den Vorrang gegenüber ihrem jeweiligen innerstaatlichen Recht zu geben ( BGE 133 V 367 E. 11.4-11.6 S. 389 ff.). Die vorne erwähnte Ausnahme nach der sogenannten "Schubert-Praxis" gilt im Verhältnis zur Europäischen Union und den von der Schweiz im Freizügigkeitsrecht staatsvertraglich eingegangenen Pflichten nicht, weil es dabei über die Realisierung der teilweise übernommenen Grundfreiheit um eine Angleichung der Rechtsordnung (sektorielle Beteiligung am Binnenmarkt) geht, welche für die EU-Mitgliedstaaten ihrerseits direkt anwendbar ist (Urteil des EuGH vom 5. Februar 1963 C-26/62 van Gend en Loos , Slg. 1963 S. 3) und für welche kraft Unionsrechts der Vorrang dieser Rechtsordnung ebenfalls Geltung hat (Urteil des EuGH vom 15. Juli 1964 C-6/64 Costa gegen E.N.E.L , Slg. 1964 S. 1141). Dieses Verständnis des Zusammenhangs zwischen völkerrechtlicher Verpflichtung einerseits und abweichendem Landesrecht liegt überdies Art. 121a BV selbst zugrunde, indem diese Verfassungsbestimmung dazu verpflichtet, erstens keine Verträge mehr abzuschliessen, die im Widerspruch zur von der Verfassungsnorm angestrebten eigenständigen Zuwanderungssteuerung stehen (Staatsangehörige Kroatiens können sich entsprechend nicht auf das FZA berufen: Urteile 2C_1195/2013 vom 4. Juli 2014 E. 4.4; 2C_103/2014 vom 13. Januar 2015 E. 5.5; 2C_128/2015 vom 25. August 2015 E. 3.9), und zweitens bestehende Verträge neu auszuhandeln.</w:t>
      </w:r>
    </w:p>
    <w:p>
      <w:r>
        <w:rPr>
          <w:b/>
        </w:rPr>
        <w:t>E. 3.3</w:t>
      </w:r>
    </w:p>
    <w:p>
      <w:r>
        <w:t>Art. 121a BV ist nach dem Gesagten in der Rechtsprechung nicht direkt anwendbar. Ein Konflikt zu völkerrechtlichen Verträgen könnte entstehen, wenn eine Verhandlungslösung mit der EU nicht möglich wäre, innerstaatliche Rechtsänderungen vom Freizügigkeitsabkommen abweichen sollten und diese nicht durch völkerrechtskonforme Auslegung in Übereinstimmung mit dem FZA angewendet werden könnten. Im Falle eines tatsächlichen Normkonflikts aber ginge in der Rechtsanwendung gemäss den dargelegten Grundsätzen das FZA vor (E. 3.2 hiervor). Daraus erhellt zugleich, dass sich aus der Verfassungsbestimmung kein triftiger Grund ergeben kann, im Rahmen der Rechtsprechung vom Vertragsziel der parallelen Rechtslage im übernommenen Bereich abzuweichen (E. 3.1 hiervor).</w:t>
      </w:r>
    </w:p>
    <w:p>
      <w:r>
        <w:rPr>
          <w:b/>
        </w:rPr>
        <w:t>E. 4.1</w:t>
      </w:r>
    </w:p>
    <w:p>
      <w:r>
        <w:t>Die Beschwerdeführer berufen sich auf Art. 3 Abs. 6 Anhang I FZA . Danach dürfen die Kinder eines Staatsangehörigen einer BGE 142 II 35 S. 41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(Urteil des EuGH vom 15. März 1989 C-389/87 und C-390/87 Echternach und Moritz , Slg. 1989-723 Randnr. 23).</w:t>
      </w:r>
    </w:p>
    <w:p>
      <w:r>
        <w:rPr>
          <w:b/>
        </w:rPr>
        <w:t>E. 4.2</w:t>
      </w:r>
    </w:p>
    <w:p>
      <w:r>
        <w:t>Im Urteil vom 17. September 2002 C-413/99 Baumbast gegen das Vereinigte Königreich (Slg. 2002 I-7091) hat der EuGH in Auslegung von Art. 12 der Verordnung (EWG) Nr. 1612/68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jenen aufzuhalten, um ihnen zu ermöglichen, ihr Recht auf Bildung nach Art. 12 der Verordnung (EWG) Nr. 1612/68 wahrzunehmen (Urteil Baumbast , a.a.O., Randnr. 75, "effet utile"). In zwei Urteilen vom 23. Februar 2010 hat der EuGH seine Praxis in dem Sinn präzisiert, dass dem Elternteil, der die elterliche Sorge für die Kinder tatsächlich wahrnimmt, ein Anspruch auf Aufenthalt in Anwendung von Art. 12 der Verordnung (EWG) Nr. 1612/68 zukommt, ohne dass dieser von ausreichenden Existenzmitteln abhängig gemacht werden dürfte und der Bezug von Sozialhilfeleistungen ausgeschlossen wäre (Urteile vom 23. Februar 2010 C-310/08 und C-480/08 Ibrahim und Teixeira , Slg. 2010 I-1065 und Slg. 2010 BGE 142 II 35 S. 42 I-1107 Randnrn. 25 ff. bzw. 34 ff.; FERDINAND WOLLENSCHLÄGER, Aktuelle Fragen der EU-Personenfreizügigkeit, in: Jahrbuch für Migrationsrecht 2009/2010, Achermann und andere [Hrsg.], S. 3 ff., dort 23 ff.). Das abgeleitete Anwesenheitsrecht des die Sorge tatsächlich wahrnehmenden Elternteils ende mit dem Eintritt der Volljährigkeit des Kindes, sofern dieses nicht weiterhin dessen Anwesenheit und Fürsorge bedürfe, um seine Ausbildung fortsetzen bzw. abschliessen zu können (Urteil Teixeira , a.a.O., Randnr. 76 ff.).</w:t>
      </w:r>
    </w:p>
    <w:p>
      <w:r>
        <w:rPr>
          <w:b/>
        </w:rPr>
        <w:t>E. 4.3</w:t>
      </w:r>
    </w:p>
    <w:p>
      <w:r>
        <w:t>Im Urteil 2A.475/2004 vom 25. Mai 2005 hatte das Bundegericht in systemkonformer Auslegung und unter Berücksichtigung der EuGH-Urteile vom 15. März 1989 Echternach und Moritz sowie vom 17. September 2002 Baumbast weitgehend gleich entschieden, wie der EuGH es später in den Urteilen Ibrahim und Teixeira tun sollte (dort E. 4 und 5). Dabei ging es um einen deutschen Jugendlichen, der in der Schweiz seine Lehre begonnen hatte und bei der vom deutschen Vater und freizügigkeitsberechtigten Arbeitnehmer getrennt lebenden mauretanischen Mutter wohnte (Obhut), die das Sorgerecht wahrnahm und Sozialhilfe bezog. In BGE 139 II 393 ff. war über die Problematik der Sozialhilfeabhängigkeit nicht zu entscheiden, vielmehr stellte sich die Frage, ob das Recht des Kindes eines Wanderarbeitnehmers aus den Vertragsstaaten, die begonnene Ausbildung abzuschliessen, auch dann gilt, wenn die eheliche Beziehung zur drittstaatsangehörigen Mutter im Zeitpunkt der Aufnahme der Ausbildung bereits inhaltslos geworden ist und nur noch formell Bestand hatte. Das Bundesgericht verneinte dies, weil im massgebenden Zeitpunkt kein aus einem Freizügigkeitsanspruch abgeleitetes Aufenthaltsrecht mehr bestand.</w:t>
      </w:r>
    </w:p>
    <w:p>
      <w:r>
        <w:rPr>
          <w:b/>
        </w:rPr>
        <w:t>E. 4.4</w:t>
      </w:r>
    </w:p>
    <w:p>
      <w:r>
        <w:t>Im hier zu beurteilenden Fall reiste die dominikanische Mutter (bereits) schwanger von Italien her in die Schweiz ein, wo ihr Kind zur Welt gekommen ist und von einem deutschen Arbeitnehmer anerkannt wurde. In der Folge haben die unverheirateten Eltern mit dem Kind zusammengelebt. Das Kind verfügt inzwischen über eine Niederlassungsbewilligung EU/EFTA. Der Vater lebt nach wie vor in der Schweiz und war hier ursprünglich als unselbständig Tätiger aktiv; er hat inzwischen eine neue Familie gegründet. Seinen Unterhaltspflichten dem anerkannten Kind gegenüber ist er - offenbar aus gesundheitlichen Gründen - indessen nur unvollständig nachgekommen. Das deutsche Kind hat im Rahmen von Art. 3 Abs. 6 Anhang I FZA freizügigkeitsrechtlich grundsätzlich einen Anspruch darauf, seine Ausbildung in der Schweiz abschliessen zu können. BGE 142 II 35 S. 43 Dies wäre indessen bereits sichergestellt, wenn es bei seinem Vater verbliebe, zu dem (und dessen Familie) es nach Angaben in der Beschwerdeschrift eine enge Beziehung unterhält. Nach Art. 3 Abs. 1 Anhang I FZA haben die Familienangehörigen einer Partei, die Staatsangehörige einer Vertragspartei ist und eine Aufenthaltsbefugnis hat, das Recht, bei ihr Wohnung zu nehmen. Der Beschwerdeführer als anerkannter Sohn eines deutschen Arbeitnehmers hat bereits gestützt auf diese Bestimmung einen freizügigkeitsrechtlichen Anspruch auf Familiennachzug und -gemeinschaft zu seinem Vater. Jedoch ist die Mutter sorgeberechtigt. Sie war mit dem deutschen Vater nicht verheiratet und kann deshalb nicht als "Ehegattin" im Sinne von Art. 3 Abs. 2 lit. a bzw. lit. b Anhang I FZA gelten (vgl. Urteil 2C_470/2014 vom 29. Januar 2015 E. 1.1). Aus dem Freizügigkeitsrecht ergibt sich für sie selber deshalb direkt keine geschützte Rechtsstellung, zumal der Anspruch ihres Sohnes nach Art. 3 Abs. 6 Anhang I FZA bei einem Verbleib beim Vater bereits sichergestellt wäre. Es kommt hinzu, dass der Beschwerdeführer zu einem Zeitpunkt in die obligatorische Schulpflicht eingetreten ist, als seine Eltern bereits nicht mehr zusammenlebten. Selbst wenn die Beschwerdeführerin mit dem Kindsvater verheiratet gewesen wäre, ergäbe sich folglich nicht, dass sie zwecks Sicherstellung des Abschlusses der Ausbildung des Kindes in der Schweiz verbleiben könnte (vgl. BGE 139 II 393 E. 4.2.2 S. 399).</w:t>
      </w:r>
    </w:p>
    <w:p>
      <w:r>
        <w:rPr>
          <w:b/>
        </w:rPr>
        <w:t>E. 5.1</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Diese Regelung ist der Richtlinie 90/364/EWG des Rates vom 28. Juni 1990 über das Aufenthaltsrecht (ABl. L 180 vom 13. Juli 1990 S. 26 f.) nachgebildet. Anforderungen in Bezug auf die Herkunft der ausreichenden finanziellen Mittel ergeben sich weder aus Art. 24 Abs. 1 Anhang I FZA noch aus Art. 1 Abs. 1 der Richtlinie 90/364/EWG. Der EuGH hat daher entschieden, dass die Bedingung ausreichender finanzieller Mittel nicht dahin ausgelegt werden könne, dass der Betroffene selber über solche Mittel verfügen müsse (Urteile vom 19. Oktober 2004 C-200/02 Zhu und Chen , Slg. 2004 I-9925 Randnrn. 30 und 33; vom 23. März 2006 C-408/03 Kommission gegen Belgien , Slg. 2006 I-2647 Randnrn. 40 und 41); die finanziellen Mittel könnten auch von Familienangehörigen BGE 142 II 35 S. 44 (Urteil Kommission gegen Belgien , a.a.O., Randnr. 42) oder sonstigen Dritten stammen (Urteil Kommission gegen Belgien , a.a.O., Randnrn. 45 ff.). Das Bundesgericht ist dieser Auslegung für die Anwendung von Art. 24 Anhang I FZA beigetreten. Es wäre in der Tat unverhältnismässig, weil nicht erforderlich, dem Kriterium der ausreichenden finanziellen Mittel, ein weiteres nach der Herkunft dieser Mittel hinzuzufügen. Die Regelung über die ökonomischen Aufenthaltsvoraussetzungen hat zum Zweck zu vermeiden, dass die öffentlichen Finanzen des Aufnahmestaates über Gebühr belastet werden, was gewährleistet ist, ohne dass es darauf ankäme, aus welcher Quelle, einer eigenen oder einer fremden, die Existenzmittel des Betroffenen stammen ( BGE 135 II 265 E. 3.3 S. 269 f.).</w:t>
      </w:r>
    </w:p>
    <w:p>
      <w:r>
        <w:rPr>
          <w:b/>
        </w:rPr>
        <w:t>E. 5.2</w:t>
      </w:r>
    </w:p>
    <w:p>
      <w:r>
        <w:t>Dem Urteil Zhu und Chen lag der Aufenthaltsanspruch eines freizügigkeitsberechtigten Kleinkindes zugrunde, das vermittelt über Familienangehörige über ausreichende finanzielle Mittel verfügte. Da ein Kleinkind seinen Aufenthaltsanspruch auf sich allein gestellt nicht wahrnehmen kann, entschied der Gerichtshof, dass unter der Voraussetzung ausreichender finanzieller Mittel auch die sorgeberechtigte drittstaatsangehörige Mutter aufenthaltsberechtigt sei (Urteil Zhu und Chen , a.a.O., Randnrn. 46 f.). Das Bundesgericht schloss sich dieser Rechtsprechung unter dem Gesichtswinkel von Art. 24 Abs. 1 Anhang I FZA nach einigem Zögern (vgl. das Urteil 2C_33/2007 vom 14. März 2008) in nunmehr konstanter Rechtsprechung (bisher rund zehn Fälle) an, auch wenn sie nach der Unterzeichnung des FZA am 21. Juni 1999 entstanden ist, da andernfalls das Aufenthaltsrecht des freizügigkeitsberechtigten Kindes nicht "effektiv" wahrgenommen werden könnte, mit anderen Worten der von den Vertragsparteien gewollte "effet utile" nicht bestünde (Urteil 2C_574/2010 vom 15. November 2010 E. 2.2.2 sowie zuletzt Urteil 2C_375/2014 vom 4. Februar 2015 E. 3.1-3.3 mit weiteren Hinweisen). Der Entscheid Zhu und Chen stützt sich in seinem Wortlaut sowohl auf die Unionsbürgerschaft als auch auf die von der Schweiz mit dem FZA übernommene Richtlinie 90/364/EWG. Dabei ist zu beachten, dass die Unionsbürgerschaft erst mit dem Vertrag von Maastricht Eingang in das Primärrecht fand. Der Anspruch auf Freizügigkeit ging zu jenem Zeitpunkt sekundärrechtlich bereits über die als Marktfreiheit konzipierte Arbeitnehmerfreizügigkeit hinaus und erfasste aufgrund der schon 1990 erlassenen und von der Schweiz mit dem Abschluss des Freizügigkeitsabkommens inhaltlich übernommenen Richtlinie 90/364/EWG auch den erwerbslosen BGE 142 II 35 S. 45 Aufenthalt. Mit der primärrechtlichen Verankerung der Unionsbürgerschaft ging eine Erweiterung auf Ansprüche einher, welche über den vorbestandenen freizügigkeitsrechtlichen Anspruch hinauswiesen und der Richtlinie 90/364/EWG noch nicht zugrundelagen. So folgerte der EuGH im Urteil Zambrano (C-34/09 vom 8. März 2011, Slg. 2011 I-1177) aus der Unionsbürgerschaft, dass auch unabhängig von einem grenzüberschreitenden Sachverhalt einem Kind, das über die belgische Staatsbürgerschaft verfügt und damit Unionsbürger ist, aufgrund des Unionsrechts die Befugnis zukommt, sich in Belgien aufzuhalten, was die Anwesenheit seiner drittstaatsangehörigen Eltern notwendig macht. Für die Schweiz ist dieser Entscheid nicht massgebend (Urteile 2C_375/2014 vom 4. Februar 2015 E. 3.5 und 2C_470/2014 vom 29. Januar 2015 E. 4), genauso wenig wie die freizügigkeitsrechtlichen Erweiterungen, wie sie gestützt auf die Unionsbürgerschaft in der Richtlinie 2004/38/EG (ABl. L 158 vom 30. April 2004 S. 77 ff.) verankert wurden, wie etwa der bedingungslose Anspruch auf Daueranwesenheit nach ununterbrochenem fünfjährigem (rechtmässigem) Aufenthalt (Art. 16 Richtlinie 2004/38/EG), das voraussetzungslose Aufenthaltsrecht von bis zu drei Monaten (Art. 6 Richtlinie 2004/38/EG) oder der im Vergleich zu Art. 5 Anhang I FZA verstärkte Ausweisungsschutz (vgl. Art. 28 Abs. 3 Richtlinie 2004/38/EG).</w:t>
      </w:r>
    </w:p>
    <w:p>
      <w:r>
        <w:rPr>
          <w:b/>
        </w:rPr>
        <w:t>E. 5.3</w:t>
      </w:r>
    </w:p>
    <w:p>
      <w:r>
        <w:t>Der Beschwerdeführerin war es in der Vergangenheit über längere Zeit nicht möglich, für ihren Unterhalt und denjenigen des Beschwerdeführers aufzukommen. Teilweise beruht dies auch darauf, dass der Kindsvater seinen Unterhaltspflichten nicht oder unzureichend nachgekommen ist, so dass die Beschwerdeführerin für sich und ihren Sohn insgesamt Leistungen der Sozialhilfe im Umfang von Fr. 394'683.20 beziehen musste. Es liegt bei dieser Sachlage auf der Hand, dass die Voraussetzungen für einen Aufenthaltsanspruch gestützt auf Art. 24 Abs. 1 Anhang I FZA und im Sinne des Urteils Zhu und Chen nicht erfüllt sind. Die Beschwerdeführerin macht allerdings geltend, dass sie heute über eine Anstellung als Büroassistentin (ab 1. September 2014) verfüge, wofür ihr ein gutes Arbeitszeugnis ausgestellt worden sei und sie sich entsprechend aus der Sozialhilfeabhängigkeit habe lösen können. Wie es sich damit verhält, kann im vorliegenden Verfahren nicht geprüft werden, da es sich bei den genannten Vorbringen um unzulässige echte Noven handelt (nicht publ. E. 2.2). Da Aufenthaltsbewilligungen gestützt auf das Freizügigkeitsabkommen keine rechtsbegründende, sondern bloss BGE 142 II 35 S. 46 deklaratorische Bedeutung haben ( BGE 136 II 329 E 2.2 S. 332 f.; BGE 134 IV 57 E. 4 S. 58 f.), kann es sein, dass die Beschwerdeführerin zwischenzeitlich über einen freizügigkeitsrechtlichen Anspruch verfügt, weil ihr Kind, für das sie sorgt, die Voraussetzungen für einen erwerbslosen Aufenthalt erfüllt. Entsprechend könnte sie, sollte die Behauptung über eine Festanstellung und die Loslösung von der Sozialhilfeabhängigkeit zutreffen und nachhaltig sein, einen freizügigkeitsrechtlichen Anspruch auf Aufenthalt haben. Dies zu prüfen wäre aber, auf Gesuch hin, Sache des Migrationsamtes des Kantons Zürich.</w:t>
      </w:r>
    </w:p>
    <w:p>
      <w:r>
        <w:rPr>
          <w:b/>
        </w:rPr>
        <w:t>E. 6.1</w:t>
      </w:r>
    </w:p>
    <w:p>
      <w:r>
        <w:t>Die Beschwerdeführer berufen sich weiter auf Art. 8 EMRK . Die Europäische Menschenrechtskonvention verschafft praxisgemäss keinen Anspruch auf Einreise und Aufenthalt oder auf einen besonderen Aufenthaltstitel (vgl. BGE 139 I 330 E. 2 S. 335 ff.; BGE 138 I 246 E. 3.2.1 S. 250; BGE 137 I 247 E. 4.1.1 S. 249; BGE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S. 250 mit Hinweisen). Dennoch kann es das in Art. 8 EMRK geschützte Recht auf Achtung des Privat- und Familienlebens verletzen, wenn einer ausländischen Person, deren Familienangehörige sich hier aufhalten, die Anwesenheit untersagt und damit ihr Zusammenleben vereitelt wird ( BGE 139 I 330 E. 2 S. 335 ff.; BGE 135 I 143 E. 1.3.1 S. 145, BGE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116 Ib 353 E. 3c S. 357; BGE 137 I 247 E. 4.1.2 S. 249 f.).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BGE 142 II 35 S. 47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139 I 330 E. 2.2 S. 336; BGE 135 I 143 E. 2.1 S. 147, BGE 135 I 153 E. 2.2.1 S. 156; BGE 122 II 1 E. 2 S. 6; BGE 116 Ib 353 E. 3 S. 357 ff.).</w:t>
      </w:r>
    </w:p>
    <w:p>
      <w:r>
        <w:rPr>
          <w:b/>
        </w:rPr>
        <w:t>E. 6.2</w:t>
      </w:r>
    </w:p>
    <w:p>
      <w:r>
        <w:t>Nach der Rechtsprechung hat der nicht sorge- oder obhutsberechtigte Elternteil eines aufenthaltsberechtigten oder niedergelassenen ausländischen Kindes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Ausländer vermutlich auszureisen hätte, praktisch nicht aufrechterhalten werden könnte ( BGE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137 I 247 E. 4.2.3 S. 251; vgl. auch Urteil 2C_648/2014 vom 6. Juli 2015 E. 2.2).</w:t>
      </w:r>
    </w:p>
    <w:p>
      <w:r>
        <w:rPr>
          <w:b/>
        </w:rPr>
        <w:t>E. 6.3</w:t>
      </w:r>
    </w:p>
    <w:p>
      <w:r>
        <w:t>Der deutsche Beschwerdeführer verfügt in der Schweiz über eine Niederlassungsbewilligung und damit ein gefestigtes Anwesenheitsrecht im Sinne der bundesgerichtlichen Rechtsprechung. Die Beziehung zwischen der sorgeberechtigten Beschwerdeführerin und ihm wird gelebt. Dasselbe trifft in affektiver Hinsicht auch für die Beziehung zum besuchsberechtigten Vater zu. Hingegen leistet der Vater keine Unterhaltsbeiträge, so dass eine enge wirtschaftliche Beziehung zu ihm verneint werden muss. Demgemäss lässt sich gestützt BGE 142 II 35 S. 48 auf Art. 8 EMRK nicht folgern, dass der Beschwerdeführerin die Aufenthaltsbewilligung zu erteilen wäre, damit die Beziehung des Kinds zu seinem Vater, der seinen elterlichen Pflichten nur beschränkt nachkommt, weiterhin gewahrt werden kann.</w:t>
      </w:r>
    </w:p>
    <w:p>
      <w:r>
        <w:rPr>
          <w:b/>
        </w:rPr>
        <w:t>E. 7.1</w:t>
      </w:r>
    </w:p>
    <w:p>
      <w:r>
        <w:t>Die Beschwerde erweist sich damit aufgrund der Sachlage, wie sie zum Zeitpunkt des angefochtenen Urteils bestand, als unbegründet. Sie ist mit Blick auf die Ausführungen in Erwägung 5 im Sinne der Erwägungen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