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304</w:t>
      </w:r>
    </w:p>
    <w:p>
      <w:r>
        <w:t>Bundesgericht (BGE), 2016-07-18, DE</w:t>
      </w:r>
    </w:p>
    <w:p>
      <w:r>
        <w:rPr>
          <w:b/>
        </w:rPr>
        <w:t xml:space="preserve">Quelle: </w:t>
      </w:r>
      <w:r>
        <w:t>https://mcp.opencaselaw.ch/entscheid/bge_BGE_142_II_304</w:t>
      </w:r>
    </w:p>
    <w:p>
      <w:r>
        <w:t>FR: ATF 142 II 304</w:t>
      </w:r>
    </w:p>
    <w:p>
      <w:r>
        <w:t>IT: DTF 142 II 304</w:t>
      </w:r>
    </w:p>
    <w:p>
      <w:pPr>
        <w:pStyle w:val="Heading2"/>
      </w:pPr>
      <w:r>
        <w:t>Regeste</w:t>
      </w:r>
    </w:p>
    <w:p>
      <w:r>
        <w:t>Regeste Art. 54 und 55 VStG; Steuerrückerstattung; Beschwerdefrist; Voraussetzungen für die Anwendung kantonaler Verfahrensvorschriften; Ausschluss einer analogen Anwendung der im VwVG und in der ZPO vorgesehenen Gerichtsferien. Gemäss Art. 54 Abs. 1 VStG kann gegen den Einspracheentscheid des kantonalen Verrechnungssteueramtes innert 30 Tagen nach der Eröffnung bei der kantonalen Rekurskommission schriftlich Beschwerde erhoben werden; die Beschwerde hat einen bestimmten Antrag zu enthalten und die zu seiner Begründung dienenden Tatsachen anzugeben. Vorbehalten bleibt Art. 55 VStG (E. 3.1). Art. 55 VStG gestattet die Anwendung kantonaler Verfahrensvorschriften, wenn der Entscheid über den Rückerstattungsanspruch mit der Veranlagungsverfügung verbunden worden ist. Ist dies - wie hier - nicht der Fall, kommt das kantonale Verfahrensrecht nicht in Betracht und ist nur Art. 54 Abs. 1 VStG massgebend (E. 3.3). Eine (analoge) Anwendung der im VwVG und in der ZPO vorgesehenen Gerichtsferien ist auch ausgeschlossen (E. 3.4).</w:t>
      </w:r>
    </w:p>
    <w:p>
      <w:r>
        <w:t>Regeste Art. 54 et 55 LIA; remboursement de l'impôt; délai de recours; conditions d'application des dispositions de la procédure cantonale; exclusion de l'application par analogie des féries judiciaires prévues par la PA et le CPC. Selon l'art. 54 al. 1 LIA, la décision rendue sur réclamation par l'office cantonal de l'impôt anticipé peut, dans les trente jours suivant sa notification, être attaquée par voie de recours écrit à la commission cantonale de recours; le recours doit contenir des conclusions précises et indiquer les faits sur lesquels elles se fondent. L'art. 55 LIA est réservé (consid. 3.1). L'art. 55 LIA autorise l'application des prescriptions de la procédure cantonale lorsque la décision de remboursement a été liée à une décision de taxation. Lorsque tel n'est pas le cas, comme en l'espèce, le droit de procédure cantonal n'entre pas en considération et seul l'art. 54 al. 1 LIA est déterminant (consid. 3.3.). Une application (par analogie) des féries judiciaires prévues par la PA ou le CPC est aussi exclue (consid. 3.4).</w:t>
      </w:r>
    </w:p>
    <w:p>
      <w:r>
        <w:t>Regesto Art. 54 e 55 LIP; rimborso dell'imposta; termine di ricorso; condizioni di applicazione delle norme della procedura cantonale; esclusione dell'applicazione analogica delle ferie giudiziarie previste dalla PA e dal CPC. Giusta l'art. 54 cpv. 1 LIP, la decisione sul reclamo presa dall'ufficio cantonale dell'imposta preventiva può essere impugnata per iscritto, nel termine di 30 giorni dalla notificazione, mediante ricorso alla commissione cantonale di ricorso; il ricorso deve contenere delle conclusioni precise e indicare i fatti sui quali è fondato. L'art. 55 LIP è riservato (consid. 3.1). L'art. 55 LIP autorizza l'applicazione delle prescrizioni della procedura cantonale quando la decisione in merito al diritto al rimborso è collegata a quella della tassazione. Se ciò non è il caso - come in concreto - il diritto di procedura cantonale non entra in considerazione ed è determinante unicamente l'art. 54 cpv. 1 LIP (consid. 3.3). Un'applicazione (per analogia) delle ferie giudiziarie previste dalla PA o dal CPC è ugualmente esclusa (consid. 3.4).</w:t>
      </w:r>
    </w:p>
    <w:p>
      <w:pPr>
        <w:pStyle w:val="Heading2"/>
      </w:pPr>
      <w:r>
        <w:t>Erwägungen</w:t>
      </w:r>
    </w:p>
    <w:p>
      <w:r>
        <w:rPr>
          <w:b/>
        </w:rPr>
        <w:t>E. 3.1</w:t>
      </w:r>
    </w:p>
    <w:p>
      <w:r>
        <w:t>Gemäss Art. 54 Abs. 1 des Verrechnungssteuergesetzes vom 13. Oktober 1965 (VStG; SR 642.21) kann gegen den Einspracheentscheid des kantonalen Verrechnungssteueramtes innert 30 Tagen nach der Eröffnung bei der kantonalen Rekurskommission schriftlich Beschwerde erhoben werden; die Beschwerde hat einen bestimmten Antrag zu enthalten und die zu seiner Begründung dienenden Tatsachen anzugeben. Vorbehalten bleibt Art. 55 (ergänzendes kantonales Recht). Gemäss Art. 55 VStG kann der Kanton in seinen Vollzugsvorschriften bestimmen, dass sich das Einspracheverfahren und das Verfahren vor der kantonalen Rekurskommission nach den für die Anfechtung und Überprüfung der Steuerveranlagung massgebenden kantonalen Verfahrensvorschriften (einschliesslich der Fristen) richtet, wenn der Entscheid über den Rückerstattungsanspruch mit einer Veranlagungsverfügung verbunden worden ist. Bei der Frist nach Art. 54 Abs. 1 VStG handelt es sich wie bei allen Rechtsmittelfristen um eine gesetzliche Frist, die als solche, vorbehältlich einer anderen gesetzlichen Regelung, nicht erstreckbar ist. Auf Beschwerden, welche nach Ablauf der Rechtsmittelfrist erhoben worden sind, darf die Rekurskommission nicht eintreten. Dabei hat die angegangene Instanz von Amtes wegen zu prüfen, ob die Beschwerde innert der gesetzlichen Frist eingereicht worden ist. Raum für die Berücksichtigung der kantonalen Gerichtsferien in einem grundsätzlich durch bundesrechtliche Regeln normierten Verfahren BGE 142 II 304 S. 306 besteht nur dann, wenn der bundesgerichtliche Erlass hinsichtlich des Fristenlaufs keine abschliessende Regelung getroffen hat (Urteil A.363/1985 vom 13. Mai 1986, in: ASA 56 E. 2a S. 645).</w:t>
      </w:r>
    </w:p>
    <w:p>
      <w:r>
        <w:rPr>
          <w:b/>
        </w:rPr>
        <w:t>E. 3.2</w:t>
      </w:r>
    </w:p>
    <w:p>
      <w:r>
        <w:t>Die Vorinstanz hält in ihrem Urteil fest, kantonales Verfahrensrecht könne lediglich in jenen Fällen zur Anwendung kommen, wo der Entscheid über den Rückerstattungsanspruch mit einer Veranlagungsverfügung verbunden worden ist. Da im Kanton Aargau der Entscheid über den Rückerstattungsanspruch nicht mit einer Veranlagungsverfügung verbunden wird, ist sie zum Schluss gekommen, für die Anwendung des kantonalen Steuerverfahrensrechts bzw. der kantonalen Gerichtsferien bestehe kein Raum.</w:t>
      </w:r>
    </w:p>
    <w:p>
      <w:r>
        <w:rPr>
          <w:b/>
        </w:rPr>
        <w:t>E. 3.3</w:t>
      </w:r>
    </w:p>
    <w:p>
      <w:r>
        <w:t>Den Ausführungen des Spezialverwaltungsgerichts des Kantons Aargau ist beizupflichten. Gemäss dem klaren Wortlaut von Art. 55 VStG , von welchem bei der Gesetzesauslegung in erster Linie auszugehen ist ( BGE 136 V 216 E. 5.1 S. 217; BGE 135 V 153 E. 4.1 S. 157), ist die Anwendung kantonaler Verfahrensvorschriften nur möglich, wenn der Entscheid über den Rückerstattungsanspruch mit der Veranlagungsverfügung verbunden worden ist (Urteile 2C_704/2014 vom 10. Februar 2015, in: StR 70/2015 E. 4.1 S. 541 und 2A.288/2003 vom 7. Mai 2004 E. 1.2; BRUNO KNÜSEL, in: Bundesgesetz über die Verrechnungssteuer, Zweifel/Beusch/Bauer-Balmelli [Hrsg.], 2. Aufl. 2012, N. 1 zu Art. 55 VStG ; ARNOLD/MEIER/SPINNLER, Steuerpflicht bei Auslandbezug, ASA 70 S. 1 ff., 79-80). Ist dies - wie hier - nicht der Fall, kommt der in Art. 54 Abs. 1 VStG enthaltene Vorbehalt nicht in Betracht und ist nur die zuletzt erwähnte Bestimmung massgebend.</w:t>
      </w:r>
    </w:p>
    <w:p>
      <w:r>
        <w:rPr>
          <w:b/>
        </w:rPr>
        <w:t>E. 3.4</w:t>
      </w:r>
    </w:p>
    <w:p>
      <w:r>
        <w:t>In diesem Zusammenhang und entgegen der Meinung des Beschwerdeführers muss gleichzeitig eine (analoge) Anwendung der im Bundesgesetz vom 20. Dezember 1968 über das Verwaltungsverfahren (VwVG; SR 172.021) und in der Zivilprozessordnung vom 19. Dezember 2008 (ZPO; SR 272) vorgesehenen Gerichtsferien ausgeschlossen werden. Art. 54 Abs. 1 VStG , der eine Beschwerdefrist von 30 Tagen vorsieht, verweist weder auf das VwVG noch auf die ZPO, sondern nur (und zwar bedingt) auf das kantonale Recht. Die einzige Bestimmung, die einen solchen Verweis enthält, ist Art. 59 Abs. 1 VStG . Diese betrifft aber die Revision und die Erläuterung von Entscheiden der Eidgenössischen Steuerverwaltung bzw. der kantonalen BGE 142 II 304 S. 307 Behörden und nicht die Regelung der Gerichtsferien. Eine (direkte) Anwendung von Art. 22a VwVG oder von Art. 145 ZPO scheidet hingegen bereits gemäss Art. 1 Abs. 3 VwVG bzw. gemäss Art. 1 ZPO aus.</w:t>
      </w:r>
    </w:p>
    <w:p>
      <w:r>
        <w:rPr>
          <w:b/>
        </w:rPr>
        <w:t>E. 3.5</w:t>
      </w:r>
    </w:p>
    <w:p>
      <w:r>
        <w:t>Nach dem vorinstanzlich festgestellten Sachverhalt ( Art. 105 Abs. 1 BGG ) wurde der Einspracheentscheid am 12. August 2015 zugestellt. Die in Art. 54 Abs. 1 VStG vorgesehene Beschwerdefrist von 30 Tagen ist am 11. September 2015 abgelaufen. Die am 14. September 2015 der Schweizerischen Post übergebene Beschwerde war damit verspätet.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