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268</w:t>
      </w:r>
    </w:p>
    <w:p>
      <w:r>
        <w:t>Bundesgericht (BGE), 2016-05-26, DE</w:t>
      </w:r>
    </w:p>
    <w:p>
      <w:r>
        <w:rPr>
          <w:b/>
        </w:rPr>
        <w:t xml:space="preserve">Quelle: </w:t>
      </w:r>
      <w:r>
        <w:t>https://mcp.opencaselaw.ch/entscheid/bge_BGE_142_II_268</w:t>
      </w:r>
    </w:p>
    <w:p>
      <w:r>
        <w:t>FR: ATF 142 II 268</w:t>
      </w:r>
    </w:p>
    <w:p>
      <w:r>
        <w:t>IT: DTF 142 II 268</w:t>
      </w:r>
    </w:p>
    <w:p>
      <w:pPr>
        <w:pStyle w:val="Heading2"/>
      </w:pPr>
      <w:r>
        <w:t>Regeste</w:t>
      </w:r>
    </w:p>
    <w:p>
      <w:r>
        <w:t>Regeste Art. 25 Abs. 4, Art. 28 Abs. 2, Art. 48 Abs. 1 KG; Art. 3 lit. e und f, Art. 2 Abs. 1 lit. b und Abs. 2 lit. c, Art. 17 und 19 DSG; Art. 162 StGB; Voraussetzung der Veröffentlichung einer Verfügung der WEKO. Sinn und Zweck der Veröffentlichung von Verfügungen der WEKO (E. 4). Umfang von Geschäftsgeheimnissen im KG (E. 5.1 und 5.2). Zur Anwendung des Datenschutzgesetzes im Rahmen des Kartellgesetzes (E. 6.1-6.4).</w:t>
      </w:r>
    </w:p>
    <w:p>
      <w:r>
        <w:t>Regeste Art. 25 al. 4, art. 28 al. 2, art. 48 al. 1 LCart; art. 3 let. e et f, art. 2 al. 1 let. b et al. 2 let. c, art. 17 et 19 LPD; art. 162 CP; condition posée à la publication d'une décision de la COMCO. Sens et but de la publication de décisions de la COMCO (consid. 4). Étendue des secrets d'affaires au sens de la LCart (consid. 5.1 et 5.2). Application de la loi sur la protection des données dans le cadre de la loi sur les cartels (consid. 6.1-6.4).</w:t>
      </w:r>
    </w:p>
    <w:p>
      <w:r>
        <w:t>Regesto Art. 25 cpv. 4, art. 28 cpv. 2, art. 48 cpv. 1 LCart; art. 3 lett. e nonché lett. f, art. 2 cpv. 1 lett. b e cpv. 2 lett. c, art. 17 e 19 LPD; art. 162 CP; condizione posta alla pubblicazione di una decisione della COMCO. Senso e scopo della pubblicazione di decisioni della COMCO (consid. 4). Estensione dei segreti d'affari ai sensi della LCart (consid. 5.1 e 5.2). Dell'applicazione della legge sulla protezione dei dati nell'ambito della legge sui cartelli (consid. 6.1-6.4).</w:t>
      </w:r>
    </w:p>
    <w:p>
      <w:pPr>
        <w:pStyle w:val="Heading2"/>
      </w:pPr>
      <w:r>
        <w:t>Erwägungen</w:t>
      </w:r>
    </w:p>
    <w:p>
      <w:r>
        <w:rPr>
          <w:b/>
        </w:rPr>
        <w:t>E. 4.1</w:t>
      </w:r>
    </w:p>
    <w:p>
      <w:r>
        <w:t>Die Beschwerdeführerin rügt sodann eine Verletzung des Verhältnismässigkeitsprinzips . Sie ist der Auffassung, dass die Publikationstätigkeit der WEKO den Grundsatz der Verhältnismässigkeit gemäss Art. 5 Abs. 2 und Art. 36 BV wahren müsse. Eine Publikation der strittigen Textstellen wäre vorliegend klar unverhältnismässig, da in nur sehr beschränktem Umfang ein öffentliches Interesse an der Publikation von Originalzitaten aus interner Kommunikation bestehe und dieses öffentliche Interesse gegenüber dem privaten Geheimhaltungsinteresse der Beschwerdeführerin keinesfalls zu überwiegen vermöge. Sie nimmt dabei Bezug auf die allgemeinen Ausführungen der Vorinstanz.</w:t>
      </w:r>
    </w:p>
    <w:p>
      <w:r>
        <w:rPr>
          <w:b/>
        </w:rPr>
        <w:t>E. 4.2</w:t>
      </w:r>
    </w:p>
    <w:p>
      <w:r>
        <w:t>Die Beschwerdeführerin unterschlägt bei ihren Ausführungen zum Verhältnismässigkeitsgrundsatz, dass sie sich in einem Verwaltungsrechtsverhältnis befindet, das durch verschiedene Gesetze bestimmt wird; im Vordergrund steht zunächst das KG:</w:t>
      </w:r>
    </w:p>
    <w:p>
      <w:r>
        <w:rPr>
          <w:b/>
        </w:rPr>
        <w:t>E. 4.2.1</w:t>
      </w:r>
    </w:p>
    <w:p>
      <w:r>
        <w:t>Gegen die Beschwerdeführerin ist eine Untersuchung ( Art. 27 KG ) wegen unzulässiger Wettbewerbsabreden gemäss Art. 5 Abs. 4 KG eröffnet und mit der Verfügung vom 28. November 2011 abgeschlossen worden. Darin wird festgestellt, dass gewisse Vertriebsverträge absolute Gebietsschutzabreden i.S.v. Art. 5 Abs. 4 KG enthielten, diese den Wettbewerb erheblich beeinträchtigten und keine Gründe der wirtschaftlichen Effizienz nach Art. 5 Abs. 2 vorlägen, weshalb eine unzulässige Wettbewerbsabrede gemäss Art. 5 Abs. 4 i.V.m. Abs. 1 KG bestünde, die nach Art. 49a Abs. 1 KG sanktionierbar wäre.</w:t>
      </w:r>
    </w:p>
    <w:p>
      <w:r>
        <w:rPr>
          <w:b/>
        </w:rPr>
        <w:t>E. 4.2.2</w:t>
      </w:r>
    </w:p>
    <w:p>
      <w:r>
        <w:t>Nach Art. 48 Abs. 1 KG können die Wettbewerbsbehörden, d.h. u.a. die WEKO und ihr Sekretariat (vgl. etwa TERCIER/MARTENET, in: Droit de la concurrence, Martenet/Bovet/Tercier [Hrsg.],2. Aufl. 2013, N. 13 zu Art. 48 KG ), ihre Entscheide veröffentlichen; BGE 142 II 268 S. 272 sofern ein genügendes Interesse besteht, sind diese zu veröffentlichen (TERCIER/MARTENET, a.a.O., N. 22 f. zu Art. 48 KG ). Entscheide sind - wie der französische Wortlaut auch nahelegt - u.a. Verfügungen i.S.v. Art. 5 VwVG (SR 172.021), also auch Sanktionsverfügungen nach Art. 49a Abs. 1 KG wie im vorliegenden Fall. Daneben orientieren das Sekretariat und die Wettbewerbskommission die Öffentlichkeit über ihre Tätigkeit ( Art. 49 Abs. 1 KG ).</w:t>
      </w:r>
    </w:p>
    <w:p>
      <w:r>
        <w:rPr>
          <w:b/>
        </w:rPr>
        <w:t>E. 4.2.3</w:t>
      </w:r>
    </w:p>
    <w:p>
      <w:r>
        <w:t>Wie das Wort "können" ausdrückt, steht den Wettbewerbsbehörden ein Ermessen zu (vgl. etwa MOOR/FLÜCKIGER/MARTENET, Droit administratif, Bd. I, 2012, S. 740); die Handhabung dieses Ermessens ist eine Frage der Angemessenheit. Angemessenheit ist die den Umständen angepasste Lösung im rechtlich nicht normierten Handlungsspielraum ( BGE 118 Ib 317 E. 3c S. 324) oder Zweckmässigkeit bzw. Opportunität ( BGE 129 II 193 E. 5.1 S. 208). Die Frage der Angemessenheit kann sich dementsprechend nur dort stellen, wo das Recht - selbst der Verhältnismässigkeitsgrundsatz - als Regulativ nicht mehr hinkommt (vgl. TSCHANNEN/ZIMMERLI/MÜLLER, Allgemeines Verwaltungsrecht, 4. Aufl. 2014, § 26 Rz. 4 Abs. 2).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u.a. die unverhältnismässige Handhabung des Ermessens (vgl. MOOR/FLÜCKIGER/MARTENET, a.a.O., S. 743; TSCHANNEN/ZIMMERLI/MÜLLER, a.a.O., § 26 Rz. 14 und 18).</w:t>
      </w:r>
    </w:p>
    <w:p>
      <w:r>
        <w:rPr>
          <w:b/>
        </w:rPr>
        <w:t>E. 4.2.4</w:t>
      </w:r>
    </w:p>
    <w:p>
      <w:r>
        <w:t>Verfügungen haben direkte Wirkung bloss zwischen den Parteien. Insofern würde daher eine Eröffnung nur an diese genügen; Veröffentlichungen sieht das allgemeine Verwaltungsverfahrensrecht deshalb einzig dann vor, wenn eine Eröffnung an die Parteien nicht möglich oder deren ausdrückliche Bezeichnung besonders schwierig ist (vgl. Art. 36 VwVG ). Das Kartellgesetz hält demgegenüber fest, dass Verfügungen nicht nur an die Parteien eröffnet werden, sondern auch veröffentlicht werden können . Es beruht auf einem besonderen Grund , dass das KG - was auch für andere wirtschaftsrechtliche Bundesgesetze zutrifft (vgl. dazu etwa WATTER/KÄGI, Öffentliche Information über Verfahren und Entscheide in der Finanzmarktaufsicht - zwischen Transparenz und Pranger, AJP 2005 S. 39 ff.; THOMAS ISELI, Veröffentlichung von Verfügungen durch die FINMA, BGE 142 II 268 S. 273 Jusletter 17. Oktober 2011) - vom allgemeinen Grundsatz der Nichtveröffentlichung abweicht.</w:t>
      </w:r>
    </w:p>
    <w:p>
      <w:r>
        <w:rPr>
          <w:b/>
        </w:rPr>
        <w:t>E. 4.2.5</w:t>
      </w:r>
    </w:p>
    <w:p>
      <w:r>
        <w:t>Die Veröffentlichung von Verfügungen der WEKO hat mehrere Zwecke (so auch für die EU ANDREAS KLEES, Europäisches Kartellverfahrensrecht mit Fusionskontrollverfahren, 2005, § 5 N. 33 f. [S. 94 ff.]):</w:t>
      </w:r>
    </w:p>
    <w:p>
      <w:r>
        <w:rPr>
          <w:b/>
        </w:rPr>
        <w:t>E. 4.2.5.1</w:t>
      </w:r>
    </w:p>
    <w:p>
      <w:r>
        <w:t>Erstens haben Entscheide im Rahmen des Kartellgesetzes einen Einfluss auf das Wirtschaften der Unternehmer; es ist deshalb naheliegend, dass die Verfügungen der Öffentlichkeit zur Kenntnis gebracht werden (u.a. quasi als Warnung: vgl. diesbezüglich auch Art. 10 Abs. 4 UWG [SR 241]), damit diese ihr Verhalten an derPraxis der Wettbewerbsbehörden ausrichten können. Dies ist zum einen wegen der geringen Anzahl von höchstrichterlichen Entscheiden und angesichts der - aufgrund von zu beantwortenden komplexen Fragen - langen Verfahrensdauer und zum anderen wegen der Tatsache, dass nicht jede ursprünglich strittige Frage bis vor das Bundesgericht getragen wird, besonders angezeigt. Insofern dient die Veröffentlichung zunächst der Prävention und der Rechtssicherheit (vgl. STEFAN KOLLER, in: Kartellgesetz, 2007, N. 1 zu Art. 48 KG ; TERCIER/MARTENET, a.a.O., N. 8 zu Art. 48 KG ; NYDEGGER/NADIG, in: Basler Kommentar, Kartellgesetz[nachfolgend: BSK KG], Amstutz/Reinert [Hrsg.], 2010, N. 7 zu Art. 48 KG ).</w:t>
      </w:r>
    </w:p>
    <w:p>
      <w:r>
        <w:rPr>
          <w:b/>
        </w:rPr>
        <w:t>E. 4.2.5.2</w:t>
      </w:r>
    </w:p>
    <w:p>
      <w:r>
        <w:t>Die Veröffentlichung von Verfügungen der WEKO dient zweitens auch der Transparenz der Verwaltungsaktivitäten, insb. über die Rechtsanwendung und Rechtsfortentwicklung. Das KG hat deshalb teilweise - wie die Vorinstanz zu Recht ausgeführt hat - die mit dem Öffentlichkeitsgesetz vom 17. Dezember 2004 (BGÖ; SR 152.3) in der Bundesverwaltung implementierte Politik des "open government", um Informationsbedürfnisse zu befriedigen und zur aktiven Verwaltungskontrolle und zu einem Wandel der Verwaltungskultur beizutragen (vgl. dazu etwa Botschaft vom 12. Februar 2003 zum Bundesgesetz über die Öffentlichkeit der Verwaltung [Öffentlichkeitsgesetz, BGÖ], BBl 2003 1963 ff. [nachfolgend: Botschaft BGÖ], 1973 f.; GABOR P. BLECHTA, in: Basler Kommentar, Datenschutzgesetz, Öffentlichkeitsgesetz [nachfolgend: BSK DSG - BGÖ], 2014, N. 3 ff. zu Entstehung u. Systematik BGÖ), vorweggenommen. Das BGÖ selber ist hier indes nicht anwendbar, allerdings aus einem anderen Grund, als die Beschwerdeführerin geltend macht, gemäss welcher von einem Strafverfahren auszugehen sei. Das Verfahren auf Erlass einer Sanktionsverfügung nach Art. 49a KG stellt kein BGE 142 II 268 S. 274 Strafverfahren i.S.v. Art. 3 Abs. 1 lit. a Ziff. 2 BGÖ dar, sondern ein Verwaltungsverfahren (vgl. BGE 139 I 72 E. 4.4 S. 81 f.), weshalb das BGÖ grundsätzlich anwendbar wäre (e contrario Art. 3 Abs. 1 lit. a Ziff. 5 BGÖ; Ausnahme: Akteneinsichtsrecht [ Art. 3 Abs. 1 lit. b BGÖ ]). Es betrifft aber im vorliegenden Fall nicht die vom BGÖ nur geregelte passive Informationstätigkeit ("auf Gesuch hin"; vgl. statt aller BLECHTA, a.a.O., N. 37 zu Entstehung u. Systematik BGÖ), sondern die durch das KG bereits vorgesehene aktive Informationstätigkeit. Dem Gedanken des "open government" trägt neben dem bereits erwähnten KG auch das Bundesgesetz vom 19. Juni 1992 über den Datenschutz (DSG; SR 235.1) in Art. 19, der die Sachüberschrift "Bekanntgabe von Personendaten" trägt, Rechnung. Die Veröffentlichung der Verfügung soll zudem auch Auskunft über die Stichhaltigkeit bzw. Nichtstichhaltigkeit der Eröffnung der Untersuchung geben. Es soll mit anderen Worten der der Öffentlichkeit unterbreitete Vorwurf bei Untersuchungseröffnung mit dem begründeten Resultat der Untersuchung von der Öffentlichkeit abgeglichen werden können.</w:t>
      </w:r>
    </w:p>
    <w:p>
      <w:r>
        <w:rPr>
          <w:b/>
        </w:rPr>
        <w:t>E. 4.2.5.3</w:t>
      </w:r>
    </w:p>
    <w:p>
      <w:r>
        <w:t>Drittens sollen mit der Veröffentlichung der Verfügungen die verschiedenen, mit Wirtschaftsfragen befassten kantonalen und Bundesbehörden über die Praxis der Spezialisten informiert werden (vgl. TERCIER/MARTENET, a.a.O., N. 9 zu Art. 48 KG ). Es geht mit anderen Worten nicht nur darum, dass die WEKO für sich und die Unternehmen ihre Praxis publiziert, sondern zum einen auch für kantonale Behörden für zivilrechtliche Verfahren (vgl. Art. 12 KG ) oder für Verwaltungsverfahren (z.B. BGBM [SR 943.02])und zum anderen für andere Bundesbehörden (z.B. BGBM).</w:t>
      </w:r>
    </w:p>
    <w:p>
      <w:r>
        <w:rPr>
          <w:b/>
        </w:rPr>
        <w:t>E. 4.2.5.4</w:t>
      </w:r>
    </w:p>
    <w:p>
      <w:r>
        <w:t>Sinn und Zweck der Veröffentlichung der Entscheide der WEKO decken sich somit im Wesentlichen mit dem Sinn und Zweck der Publikation gerichtlicher Entscheide (vgl. PAUL TSCHÜMPERLIN, Die Publikation gerichtlicher Entscheide, in: Kommentar zum Publikationsgesetz des Bundes, Kettiger/Sägesser [Hrsg.], 2011, S. 69 ff., 70).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 Er nimmt dabei in Kauf, dass publizierte Verfügungen der WEKO in einem späteren Verfahrensstadium auch aufgehoben oder korrigiert werden können. BGE 142 II 268 S. 275</w:t>
      </w:r>
    </w:p>
    <w:p>
      <w:r>
        <w:rPr>
          <w:b/>
        </w:rPr>
        <w:t>E. 4.2.6</w:t>
      </w:r>
    </w:p>
    <w:p>
      <w:r>
        <w:t>Der Gegenstand der Veröffentlichung nach Art. 48 Abs. 1 KG betrifft nur ganze Entscheide (Verfügungen) und nicht einzelne Passagen. Hat die Behörde ihren Ermessensspielraum in Bezug auf die Publikation einer Verfügung insgesamt angemessen ausgeübt, so bleiben dem Einzelnen dementsprechend nur die gesetzlich vorgesehenen Möglichkeiten, um sicherzustellen, dass die Verfügung rechtskonform publiziert wird; dazu gehört u.a. der Schutz des Geschäftsgeheimnisses nach Art. 25 Abs. 4 KG .</w:t>
      </w:r>
    </w:p>
    <w:p>
      <w:r>
        <w:rPr>
          <w:b/>
        </w:rPr>
        <w:t>E. 4.3</w:t>
      </w:r>
    </w:p>
    <w:p>
      <w:r>
        <w:t>Die Beschwerdeführerin hat in ihrer Beschwerde nicht die Publikation der Verfügung vom 28. November 2011 als solche in Frage gestellt, sondern lediglich die oben aufgeführten einzelnen Passagen bzw. Worte. In Bezug auf die Publikation der Verfügung ist auch angesichts des Zwecks von Art. 48 Abs. 1 KG kein Grund ersichtlich, weshalb diese Publikation rechtswidrig sein sollte. Zu prüfen ist deshalb nunmehr im Rahmen der gesetzlich vorgesehenen Möglichkeiten, ob die Verfügung rechtskonform publiziert worden ist.</w:t>
      </w:r>
    </w:p>
    <w:p>
      <w:r>
        <w:rPr>
          <w:b/>
        </w:rPr>
        <w:t>E. 5</w:t>
      </w:r>
    </w:p>
    <w:p>
      <w:r>
        <w:t>(...)</w:t>
      </w:r>
    </w:p>
    <w:p>
      <w:r>
        <w:rPr>
          <w:b/>
        </w:rPr>
        <w:t>E. 5.1</w:t>
      </w:r>
    </w:p>
    <w:p>
      <w:r>
        <w:t>Die Veröffentlichungen der Wettbewerbsbehörden dürfen keine Geschäftsgeheimnisse preisgeben ( Art. 25 Abs. 4 KG ). Keine Geschäftsgeheimnisse sind zunächst der Gegenstand und die Adressaten der Untersuchung, die nach Art. 28 Abs. 2 Satz 1 KG im Rahmen der Bekanntgabe einer Untersuchungseröffnung amtlich zu publizieren sind; dabei muss der Gegenstand das kartellrechtswidrige Verhalten so umschreiben, dass Dritte sich von der geplanten Untersuchung ein Bild machen können, um entscheiden zu können, ob sie sich an der Untersuchung beteiligen wollen ( Art. 43 KG ).</w:t>
      </w:r>
    </w:p>
    <w:p>
      <w:r>
        <w:rPr>
          <w:b/>
        </w:rPr>
        <w:t>E. 5.2.1</w:t>
      </w:r>
    </w:p>
    <w:p>
      <w:r>
        <w:t>Regelungen über die Beachtung oder über ein Verbot der Preisgabe von Geschäftsgeheimnissen finden sich neben Art. 25 Abs. 4 KG auch in unzähligen anderen Erlassen (z.B. Art. 162, 273 StBG [SR 311.0], Art. 4c, 6 UWG [SR 241], Art. 47 Abs. 1 lit. a BankG [SR 952.0], Art. 65 Abs. 1, Art. 68, 77 Abs. 3, Art. 86e PatG [SR232.14], Art. 27 Abs. 2, Art. 48b DesG [SR 232.12], Art. 26 Abs. 2StromVG [SR 734.7], Art. 51 Abs. 2, Art. 77b URG [SR 231.1]).Alle Formulierungen greifen auf den traditionellen Geheimnisbegriff zurück (vgl. JEAN NICOLAS DRUEY, Information als Gegenstand des Rechts, 1995, S. 255; TRECHSEL/JEAN-RICHARD, in: Schweizerisches Strafgesetzbuch, Praxiskommentar, Stefan Trechsel und andere [Hrsg.], 2008, N. 2 zu Art. 162 StGB ; in Bezug auf das KG BGE 142 II 268 S. 276 siehe auch SIMON BANGERTER, in: BSK KG, a.a.O., N. 52 zu Art. 25 KG ; STEFAN RENFER, Verwaltungsverfahrensrechtliche Fragestellungen aus der Praxis des Kartellrechts - Betrachtungen eines ehemaligen Mitarbeiters des Sekretariats der WEKO, sic! 2010 S. 691 ff., 697).</w:t>
      </w:r>
    </w:p>
    <w:p>
      <w:r>
        <w:rPr>
          <w:b/>
        </w:rPr>
        <w:t>E. 5.2.2.1</w:t>
      </w:r>
    </w:p>
    <w:p>
      <w:r>
        <w:t>Entsprechend diesem Begriff bilden Gegenstand eines Geschäfts geheimnisses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(zum Ganzen BGE 118 Ib 547 E. 5a S. 559; BGE 109 Ib 47 E. 5c S. 56; BGE 103 IV 283 E. 2b und 2c S. 284 ff.; BGE 80 IV 22 E. 2a S. 27 ff.; NIGGLI/HAGENSTEIN, in: Basler Kommentar, Strafrecht, Bd. II, 3. Aufl. 2013, N. 10 zu Art. 162 StGB m.H.; DRUEY, a.a.O., S. 255 ff.; TRECHSEL/JEAN-RICHARD, a.a.O., N. 2 zu Art. 162 StGB ; BANGERTER, a.a.O., N. 52, 54 zu Art. 25 KG ; VINCENT MARTENET, in: Droit de la concurrence, Martenet/Bovet/Tercier [Hrsg.], 2. Aufl. 2013, N. 44 ff. zu Art. 25 KG ; RENFER, a.a.O., S. 697 f.; RAMON MABILLARD, Bundesgesetz gegen den unlauteren Wettbewerb, 2010, N. 8 ff. zu Art. 6 UWG ; BALZ STÜCKELBERGER, Unternehmensinformation und Recht, 2004, S. 45 ff.; MARKUS R. FRICK, in: Bundesgesetz über den unlauteren Wettbewerb, Hilty/Arpagaus [Hrsg.], 2013, N. 10 ff. zu Art. 6 UWG ; BAUDENBACHER/GLÖCKNER, in: Lauterkeitsrecht, Kommentar zum [...] UWG, Baudenbacher [Hrsg.], 2001, N. 30 ff. zu Art. 6 UWG ; GEORGES BINDSCHEDLER, Der strafrechtliche Schutz wirtschaftlicher Geheimnisse, 1981, S. 19 ff.; MARTIN SCHNEIDER, Schutz des Unternehmensgeheimnisses vor unbefugter Verwertung. Eine rechtssystematische Untersuchung, 1989, S. 45 ff.). Das Interesse an der Geheimhaltung stellt ein objektives Kriterium dar (vgl. NIGGLI/HAGENSTEIN, a.a.O., N. 15 zu Art. 162 StGB ; STÜCKELBERGER, a.a.O., S. 47), massgebend ist insofern, ob die Informationen objektiv gesehen als geheimhaltungswürdig gelten.</w:t>
      </w:r>
    </w:p>
    <w:p>
      <w:r>
        <w:rPr>
          <w:b/>
        </w:rPr>
        <w:t>E. 5.2.2.2</w:t>
      </w:r>
    </w:p>
    <w:p>
      <w:r>
        <w:t>Im Rahmen des Elementes des berechtigten Geheimhaltungsinteresses stellt sich die Frage, ob auch rechtswidrigen Handlungen und Zuständen, d.h. z.B. Handlungen, die gegen das Gesetz verstossen, Geheimnisschutz zu gewähren ist. Die schweizerische Literatur ist sich hier nicht einig, auch wenn die Mehrheit eher der Auffassung folgt, dass solchen Handlungen der Schutz zu verweigern BGE 142 II 268 S. 277 sei ( pro : BINDSCHEDLER, a.a.O., S. 25; LARISSA MAROLDA MARTINEZ, Information der Aktionäre nach schweizerischem Aktien- und Kapitalmarktrecht, 2006, S. 39; FRICK, a.a.O., N. 35 zu Art. 6 UWG ; BAUDENBACHER/GLÖCKNER, a.a.O., N. 52 zu Art. 6 UWG ; RAMON MABILLARD, a.a.O., N. 11 zu Art. 6 UWG ; STÜCKELBERGER, a.a.O., S. 47; BANGERTER, a.a.O., N. 54 zu Art. 25 KG ; contra [in diesen Fällen wird vielfach eine Rechtfertigungsmöglichkeit in Betracht gezogen]: ADRIANO MARGIOTTA, Das Bankgeheimnis - Rechtliche Schranke eines bankkonzerninternen Informationsflusses?, 2002, S. 35 ff. [allerdings knüpft er das Geheimnis an berechtigte Erwartungen, welche nach Treu und Glauben geschützt seien; zur Wahrnehmung berechtigter Interessen, um das Bankgeheimnis zu verletzen, S. 106 ff.]; KARIN KELLER, Das ärztliche Berufsgeheimnis gemäss Art. 321 StGB , 1993, S. 39; weitere Hinweise bei BINDSCHEDLER, a.a.O., S. 25; die h.L. in Deutschland [dazu die Hinweise in FRICK, a.a.O., N. 35 zu Art. 6 UWG ]; grundsätzlich anders : DRUEY, a.a.O., S. 255 ff., 365 ff.; eher abwägend : FRANZ-MARTIN SPILLMANN, Begriff und Unrechtstatbestand der Verletzung der Amtsgeheimnisse nach Artikel 320 des Strafgesetzbuches 1984, S. 142 ff. [eher contra S. 144 ff.]). Das Bundesgericht hat sich, soweit ersichtlich, in den relativ weit zurückliegenden Fällen nicht explizit geäussert, indes regelmässig auf ein "intérêt légitime" ( BGE 103 IV 283 E. 2b S. 284) oder "un interesse legittimo" (BGE 118 I E. 5a S. 559) oder ein "berechtigtes Interesse" ( BGE 80 IV 22 E. 2a S. 29) abgestellt. In BGE 104 IV 175 ff., wo Stanley Adams, Mitarbeiter bei F. Hoffmann-La Roche &amp; Co. AG, den Organen der Europäischen Gemeinschaften vertrauliche Informationen über Abmachungen seiner Arbeitgeberin zukommen liess und sich bei der Argumentation der Nichtverletzung von Geheimhaltungspflichten u.a. auf Art. 23 des Abkommens vom 22. Juli 1972 zwischen der Schweizerischen Eidgenossenschaft und der Europäischen Wirtschaftsgemeinschaft (SR 0.632.401), dem Kartellrechtsartikel des Abkommens, berufen hat, löste das Bundesgericht die strittige Frage anders. Inwieweit rechtswidrige Handlungen und Zustände in den oben aufgeführten, einzelnen Erlassen, insbesondere bei Art. 162 StGB , Geheimnisschutz verdienen, muss hier nicht beantwortet werden.</w:t>
      </w:r>
    </w:p>
    <w:p>
      <w:r>
        <w:rPr>
          <w:b/>
        </w:rPr>
        <w:t>E. 5.2.2.3</w:t>
      </w:r>
    </w:p>
    <w:p>
      <w:r>
        <w:t>Ob im Geltungsbereich des KG rechtswidrige Handlungen (z.B. unzulässige Kartellabsprachen [vgl.BAUDENBACHER/GLÖCKNER, a.a.O., N. 52 zu Art. 6 UWG ; BINDSCHEDLER, a.a.O., S. 25; BANGERTER, a.a.O., N. 54 zu Art. 25 KG ]) und Zustände einen BGE 142 II 268 S. 278 solchen Schutz verdienen, ist im Kontext des KG selbst zu bestimmen. Dabei stellt das objektive Geheimhaltungsinteresse das Korrektiv dar, um die Unterschutzstellung willkürlicher Sonderinteressen zu verhindern (vgl. FRICK, a.a.O., N. 33 zu Art. 6 UWG ; BAUDENBACHER/GLÖCKNER, a.a.O., N. 27 zu Art. 6 UWG ; SCHNEIDER, a.a.O., S. 58; BINDSCHEDLER, a.a.O., S. 24). Mit dem objektiven Geheimhaltungsinteresse soll die Erhaltung der Wettbewerbsfähigkeit der einzelnen Unternehmen geschützt werden (vgl. SCHNEIDER, a.a.O., S. 58; BAUDENBACHER/GLÖCKNER, a.a.O., N. 27 zu Art. 6 UWG ) und somit - auch aus kartellrechtlicher Optik - gleichzeitig der Wettbewerb als solcher (SCHNEIDER, a.a.O., S. 58; siehe auch BAUDENBACHER/GLÖCKNER, a.a.O., N. 52 zu Art. 6 UWG ), der in den Augen des Kartellgesetzgebers (statt aller ADRIAN KÜNZLER, Effizienz oder Wettbewerbsfreiheit, 2008, S. 307 f.) und damit der Allgemeinheit schutzwürdig ist. Basiert somit der Wettbewerbsvorsprung auf Handlungen, welche das KG gerade verpönt, so würde ein Unterschutzstellen dieser kartellrechtswidrigen Handlungen den Intentionen des Kartellgesetzes zuwiderlaufen, und damit würde das Kartellrecht gerade das Verhalten, welches es sanktioniert und präventiv verhindern will, schützen (statt aller BINDSCHEDLER, a.a.O., S. 25). Für das Kartellrecht bedeutet dies, dass eine Unterschutzstellung eines Geheimnisses, das einen kartellrechtswidrigen Inhalt hat, nicht möglich ist (neben den unter E. 5.2.2.2 aufgeführten pro-Autoren BANGERTER, a.a.O., N. 54 zu Art. 25 KG ; MARTENET, a.a.O., N. 44 ff. zu Art. 25 KG ; RENFER, a.a.O., S. 698; ROLF DÄHLER, Wettbewerbsbehörden: Ihre Aufgaben und Befugnisse, in: Kartellrecht, SIWR Bd. V/2, 2000, S. 547 ff., 586). Nicht geheimhaltungswürdig sind deshalb Tatsachen, welche das kartellrechtswidrige Verhalten belegen (vgl. BANGERTER, a.a.O., N. 54 zu Art. 25 KG ; URS ZENHÄUSERN, in: Kartellgesetz, 2007, N. 15 zu Art. 25 KG ; RENFER, a.a.O., S. 698; DÄHLER, a.a.O., S. 586; BRUNO SCHMIDHAUSER, in: Kommentar zum schweizerischen Kartellgesetz, Homburger/Schmidhauser/Hoffet/Ducrey [Hrsg.], 2. Lieferung 1997, N. 18 zu Art. 25 KG ; so auch für die analoge Regelung in der EU etwa KLEES, a.a.O., § 5 N. 34 [S. 96]; siehe auch Urteil des EuG vom 12. Oktober 2007 T-474/04 Pergan Hilfsstoffe für industrielle Prozesse GmbH , Randnr. 65); dabei ist einzelfallweise dem Ziel der Publikation Rechnung zu tragen, insoweit als es der Öffentlichkeit erlaubt, die Motive der WEKO zu verstehen (vgl. MARTENET, a.a.O., N. 48 zu Art. 25 KG ; PATRIK DUCREY, in: Das schweizerische Kartellrecht, SBVR Bd. XI, Ducrey/Zurkinden [Hrsg.], 2. Aufl. 2007, S. 597 ff., 751 N. 421). BGE 142 II 268 S. 279</w:t>
      </w:r>
    </w:p>
    <w:p>
      <w:r>
        <w:rPr>
          <w:b/>
        </w:rPr>
        <w:t>E. 5.2.3</w:t>
      </w:r>
    </w:p>
    <w:p>
      <w:r>
        <w:t>Der Gegenstand des Geschäfts geheimnisses muss geschäftlich relevante Informationen betreffen, d.h. Informationen, die Einkaufs- und Bezugsquellen, Betriebsorganisation, Preiskalkulation etc. betreffen und demnach einen betriebswirtschaftlichen oder kaufmännischen Charakter aufweisen ( BGE 103 IV 283 E. 2b S. 28; BANGERTER, a.a.O., N. 53 zu Art. 25 KG ; FRICK, a.a.O., N. 17 zu Art. 6 UWG ); entscheidend ist, ob die geheimen Informationen Auswirkungen auf das Geschäftsergebnis haben können (vgl. BGE 103 IV 283 E. 2b S. 284; BANGERTER, a.a.O., N. 53 zu Art. 25 KG ; MARTENET, a.a.O., N. 45 zu Art. 25 KG ; SCHNEIDER, a.a.O., S. 26 ff., 32. f., 33 ff., 35 ff.), oder mit anderen Worten ob die geheimen Informationen Auswirkungen auf die Wettbewerbsfähigkeit der Unternehmung haben (vgl. ISABELLE HÄNER, BSK DSG - BGÖ, a.a.O., N. 38 zu Art. 7 BGÖ ; STÜCKELBERGER, a.a.O., S. 47).</w:t>
      </w:r>
    </w:p>
    <w:p>
      <w:r>
        <w:rPr>
          <w:b/>
        </w:rPr>
        <w:t>E. 5.2.4</w:t>
      </w:r>
    </w:p>
    <w:p>
      <w:r>
        <w:t>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(vgl. Urteil 2C_1009/2014 vom 6. Juli 2015 E. 3.3; BANGERTER, a.a.O., N. 56 zu Art. 25 KG ; ZENHÄUSERN, a.a.O., N. 16 zu Art. 25 KG ; RENFER, a.a.O., S. 697; siehe auch STÜCKELBERGER, a.a.O., S. 53; RAMON MABILLARD, a.a.O., N. 16 zu Art. 6 UWG ). (...)</w:t>
      </w:r>
    </w:p>
    <w:p>
      <w:r>
        <w:rPr>
          <w:b/>
        </w:rPr>
        <w:t>E. 6</w:t>
      </w:r>
    </w:p>
    <w:p>
      <w:r>
        <w:t>(...)</w:t>
      </w:r>
    </w:p>
    <w:p>
      <w:r>
        <w:rPr>
          <w:b/>
        </w:rPr>
        <w:t>E. 6.1</w:t>
      </w:r>
    </w:p>
    <w:p>
      <w:r>
        <w:t>Das DSG bezweckt den Schutz der Persönlichkeit und der Grundrechte von Personen, über die Daten bearbeitet werden ( Art. 1 DSG ), oder mit anderen Worten gelten die Vorschriften des DSG für die Bearbeitung von persönlichen Daten, die den grundrechtlichen Anspruch auf Schutz der Privatsphäre ( Art. 13 BV ) verletzen können ( BGE 138 II 346 E. 3.2 S. 352; BGE 126 II 126 E. 4 S. 130; vgl. WALDMANN/BICKEL, in: Datenschutzrecht, Grundlagen und öffentliches Recht [nachfolgend: Datenschutzrecht], Belser/Epiney/Waldmann [Hrsg.], 2011, § 12 N. 4). Personendaten sind dabei alle Angaben, die sich auf eine bestimmte oder bestimmbare - natürliche oder juristische ( Art. 3 lit. b DSG ; BGE 136 II 508 E. 3.2 S. 314; STEPHAN C. BRUNNER, Persönlichkeitsschutz bei der behördlichen Information der Öffentlichkeit von Amtes wegen: Ein Leitfaden, ZBl 2010 S. 595 ff., 596) - Person beziehen. Der Begriff BGE 142 II 268 S. 280 "Personendaten" ist weit und umfasst jede Information, die einen auf eine Person (oder mehrere Personen) bezogenen oder beziehbaren Informationsgehalt besitzt (vgl. etwa BEAT RUDIN, in: Datenschutzgesetz [DSG], 2015, N. 7 zu Art. 3 DSG ; PHILIPPE MEIER, Protection des données. Fondements, principes généraux et droit privé, 2011, S. 197 ff.). Im vorliegenden Fall handelt es sich beim Inhalt der Verfügung vom 28. November 2011 um Personendaten. Daten über Sanktionen stellen zudem besonders schützenswerte Personendaten dar ( Art. 3 lit. c DSG ; dazu etwa BLECHTA, in: BSK DSG - BGÖ, a.a.O., N. 43 f. zu Art. 3 DSG ), was vorliegendenfalls ebenfalls zutrifft. Bearbeiten umfasst das Bekanntgeben ( Art. 3 lit. e DSG ) und dieses wiederum das Veröffentlichen ( Art. 3 lit. f DSG ). Art. 48 Abs. 1 KG spricht von "Veröffentlichung" und meint dasselbe wie Art. 3 lit. f DSG .</w:t>
      </w:r>
    </w:p>
    <w:p>
      <w:r>
        <w:rPr>
          <w:b/>
        </w:rPr>
        <w:t>E. 6.2</w:t>
      </w:r>
    </w:p>
    <w:p>
      <w:r>
        <w:t>Das DSG gilt für das Bearbeiten von Daten juristischer Personen durch die Bundesverwaltung ( Art. 2 Abs. 1 lit. b DSG ), worunter auch die WEKO - als Behördenkommission (Art. 7a Abs. 1 lit a i.V.m. Art. 8a Abs. 3 RVOV [SR 172.010.1] i.V.m. Art. 18 f. KG) - fällt; diese ist verantwortliches Organ i.S.v. Art. 16 Abs. 1 DSG . Auf das hängige erstinstanzliche Verwaltungsverfahren ist das DSG anwendbar (Art. 2 Abs. 2 lit. c i.f. DSG; vgl. WALDMANN/BICKEL, a.a.O., § 12 N. 37). Abgesehen davon wäre das DSG auch nach Abschluss des Verfahrens anwendbar, insbesondere die Weitergabe nach Abschluss des Verfahrens (WALDMANN/BICKEL, a.a.O., § 12 N. 31).</w:t>
      </w:r>
    </w:p>
    <w:p>
      <w:r>
        <w:rPr>
          <w:b/>
        </w:rPr>
        <w:t>E. 6.3</w:t>
      </w:r>
    </w:p>
    <w:p>
      <w:r>
        <w:t>Wer Personendaten bearbeitet, hat sich u.a. an die in Art. 4, 5 und 7 DSG aufgeführten Grundsätze zu halten (dazu ASTRID EPINEY, in: Datenschutzrecht, a.a.O., S. 509 ff.): Rechtmässigkeitsgrundsatz (Art. 4 Abs. 1), Grundsatz von Treu und Glauben sowie Verhältnismässigkeitsgrundsatz (Art. 4 Abs. 2), Zweckmässigkeits- und Erkennbarkeits- bzw. Transparenzgrundsatz (Art. 4 Abs. 3 und 4) sowie Datenrichtigkeits- und -sicherheitsgrundsatz (Art. 5 und 7). Zu beachten ist allerdings, dass der Gesetzgeber in bereichsspezifischen Regelungen von den im DSG vorgesehenen Prinzipien, Grundsätzen oder Ansprüchen abweichen kann, so dass einzelnen Bestimmungen des DSG daneben (materiell) keine eigenständige Bedeutung mehr zukommt (vgl. BGE 126 II 126 E. 5b S. 132 f.; EPINEY/CIVITELLA/ZBINDEN, Datenschutzrecht in der Schweiz, 2009, S. 41).</w:t>
      </w:r>
    </w:p>
    <w:p>
      <w:r>
        <w:rPr>
          <w:b/>
        </w:rPr>
        <w:t>E. 6.4.1</w:t>
      </w:r>
    </w:p>
    <w:p>
      <w:r>
        <w:t>Für das Bearbeiten von Personendaten durch Bundesorgane bedarf es einer gesetzlichen Grundlage (vgl. Art. 5 Abs. 1 BV ). Das BGE 142 II 268 S. 281 DSG hat in den Art. 17 ff. DSG diese Anforderungen konkretisiert; dabei bildet das DSG - mit ganz wenigen Ausnahmen (z.B. Art. 19 Abs. 2 DSG ) - nicht die gesetzliche Grundlage (statt aller RAINER J. SCHWEIZER, in: Die schweizerische Bundesverfassung, St. Galler Kommentar, Ehrenzeller/Schindler/Schweizer/Vallender [Hrsg.],3. Aufl. 2014, N. 79 zu Art. 13 BV ). Die Bekanntgabe von Personendaten, worunter auch - wie bereits hervorgehoben - das Veröffentlichen fällt, hat - angesichts der "heikelste[n]Bearbeitungsphase" (WALDMANN/BICKEL, a.a.O., § 12 N. 86) - in Art. 19 DSG eine besondere, konkretisierte Regelung erfahren. Danach dürfen Bundesorgane Personendaten nur bekanntgeben, wenn dafür eine Rechtsgrundlage im Sinne von Artikel 17 besteht oder wenn bestimmte, in casu nicht relevante Voraussetzungen gegeben sind ( Art. 19 Abs. 1 DSG ). Art. 17 DSG verlangt für die Bearbeitung von Personendaten eine gesetzliche Grundlage (Abs. 1). Besonders schützenswerte Personendaten dürfen Bundesorgane nur dann bearbeiten, wenn ein Gesetz im formellen Sinn dies ausdrücklich vorsieht (Art. 17 Abs. 2 Ingress DSG) oder wenn ausnahmsweise die Voraussetzungen von Art. 17 Abs. 2 lit. a-c DSG erfüllt sind. Mit der Einführung des BGÖ hat das DSG in Art. 19 Abs. 1 bis sodann eine Regelung erhalten, die dem Anliegen des "open government" Rechnung trägt. Danach dürfen Bundesorgane im Rahmen der behördlichen Information der Öffentlichkeit von Amtes wegen oder gestützt auf das BGÖ auch Personendaten bekanntgeben, wenn die betreffenden Personendaten im Zusammenhang mit der Erfüllung öffentlicher Aufgaben stehen (lit. a) und an deren Bekanntgabe ein überwiegendes öffentliches Interesse besteht (lit. b). Besteht nach Art. 19 Abs. 1 ff. DSG eine gesetzliche Grundlage für die Bekanntgabe von Personendaten, so lehnt nach Art. 19 Abs. 4 lit. a und b DSG das Bundesorgan die Bekanntgabe trotzdem ab, schränkt sie ein oder verbindet sie mit Auflagen, wenn wesentliche öffentliche Interessen oder offensichtlich schutzwürdige Interessen einer betroffenen Person oder gesetzliche Geheimhaltungspflichten oder besondere Datenschutzvorschriften es verlangen. Insofern bedarf es einer Interessenabwägung zwischen dem öffentlichen Interesse und dem privaten Geheimhaltungsinteresse (vgl. WALDMANN/BICKEL, a.a.O., § 12 N. 91; EPINEY/CIVITELLA/ZBINDEN, a.a.O., S. 53; YVONNE JÖHRI, in: Handkommentar zum Datenschutzgesetz, Rosenthal/Jöhri [Hrsg.], 2008, N. 98 zu Art. 19 DSG ).</w:t>
      </w:r>
    </w:p>
    <w:p>
      <w:r>
        <w:rPr>
          <w:b/>
        </w:rPr>
        <w:t>E. 6.4.2</w:t>
      </w:r>
    </w:p>
    <w:p>
      <w:r>
        <w:t>Art. 48 Abs. 1 KG bildet die nach Art. 19 Abs. 1 DSG erforderliche formell gesetzliche Grundlage, um Personendaten zu BGE 142 II 268 S. 282 veröffentlichen. Sie stellt die gesetzliche Grundlage für eine bereichspezifische aktive Informationstätigkeit dar (zu den Begriffen vgl. BRUNNER, a.a.O., S. 598). Insofern ist es nicht notwendig, auf die für die allgemeine Informationstätigkeit zugeschnittene Regelung nach Art. 19 Abs. 1 bis DSG zu rekurrieren (vgl. Botschaft BGÖ, BBl 2003 2033 Ziff. 2.5.2.1). Dabei genügt als gesetzliche Grundlage - wie hier - eine Ermächtigung zur Datenbekanntgabe (vgl. EPINEY/CIVITELLA/ZBINDEN, a.a.O., S. 47), wobei die allgemeinen datenschutzrechtlichen Grundsätze noch zu beachten sind (vgl. EPINEY/CIVITELLA/ZBINDEN, a.a.O., S. 47). Allerdings ist vorab zu prüfen, ob es sich bei den Vorschriften des KG um datenschutzrechtliche Spezialvorschriften handelt (oben E. 6.3).</w:t>
      </w:r>
    </w:p>
    <w:p>
      <w:r>
        <w:rPr>
          <w:b/>
        </w:rPr>
        <w:t>E. 6.4.3</w:t>
      </w:r>
    </w:p>
    <w:p>
      <w:r>
        <w:t>Das KG enthält verschiedene Regelungen, welche sich mit der Bekanntgabe von personenbezogenen Daten befassen (Art. 25 Abs. 4, Art. 28 Abs. 2, Art. 41, 42b und 48 KG ). Für den hier vorliegenden Fall sind Art. 48 i.V.m. 25 Abs. 4 und Art. 28 Abs. 2 KG relevant. Nach Art. 48 Abs. 1 KG ist die Veröffentlichung von Verfügungen zulässig. Geschäftsgeheimnisse dürfen bei Veröffentlichungen der Wettbewerbsbehörden nicht preisgegeben werden ( Art. 25 Abs. 4 KG ). Auch im DSG werden in Art. 19 Abs. 4 lit. b Geheimhaltungspflichten (= Nichtveröffentlichung von Geschäftsgeheimnissen) erwähnt. Allerdings unterliegen diese einer Interessenabwägung (WALDMANN/BICKEL, a.a.O., § 12 N. 93), woraus nicht in jedem Fall eine Verweigerung einer Bekanntgabe folgt (vgl. BGE 124 III 170 E. 3 S. 170 ff.; EPINEY/CIVITELLA/ZBINDEN, a.a.O., S. 53; JÖHRI, a.a.O., N. 103 ff. zu Art. 19 DSG ; WALDMANN/BICKEL, a.a.O., § 12 N. 93). Das KG ist demgegenüber bei Veröffentlichungen der Wettbewerbsbehörden strikter: Geschäftsgeheimnisse dürfen nicht preisgegeben werden (vgl. nicht publ. E. 5.3.2). Insofern hat der Gesetzgeber in Bezug auf die Veröffentlichungen der Wettbewerbsbehörden, welche Geschäftsgeheimnisse enthalten können, bereits im KG die Abwägung mit den relevanten öffentlichen und privaten Interessen vorgenommen und die Veröffentlichung von Personendaten, welche Geschäftsgeheimnisse darstellen, untersagt. Dies ist angesichts der kartellrechtlichen Orientierung am Wettbewerb als solchem und insbesondere an der wirtschaftlichen Handlungsfreiheit Einzelner (vgl. KÜNZLER, a.a.O., S. 318) auch naheliegend; eine Bekanntgabe von Geschäftsgeheimnissen im Rahmen der Publikation von Verfügungen nach einer erfolgten Interessenabwägung nach Art. 19 Abs. 4 DSG könnte eine verfassungswidrige Wettbewerbsverfälschung darstellen. BGE 142 II 268 S. 283 Art. 48 Abs. 1 i.V.m. Art. 25 Abs. 4 KG stellen insofern eine Spezialregelung dar. Angesichts des klaren Wortlauts sowohl des Art. 25 Abs. 4 KG (Geschäftsgeheimnisse) als auch des Art. 19 Abs. 4 DSG , wonach eine Interessenabwägung nicht nur bei Geheimhaltungspflichten ausgelöst wird, bildet Art. 25 Abs. 4 KG eine Spezialregelung nur in Bezug auf personenbezogene Daten, die ein Geschäftsgeheimnis betreffen (das KG will nur die wirtschaftliche Handlungsfreiheit schützen). Sofern Daten keine Geschäftsgeheimnisse betreffen, ist demzufolge noch zu prüfen, ob die in Art. 19 Abs. 4 DSG aufgeführten Interessen gegen eine Veröffentlichung 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