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w:t>
      </w:r>
    </w:p>
    <w:p>
      <w:r>
        <w:t>Bundesgericht (BGE), 2015-11-22, DE</w:t>
      </w:r>
    </w:p>
    <w:p>
      <w:r>
        <w:rPr>
          <w:b/>
        </w:rPr>
        <w:t xml:space="preserve">Quelle: </w:t>
      </w:r>
      <w:r>
        <w:t>https://mcp.opencaselaw.ch/entscheid/bge_BGE_142_II_1</w:t>
      </w:r>
    </w:p>
    <w:p>
      <w:r>
        <w:t>FR: ATF 142 II 1</w:t>
      </w:r>
    </w:p>
    <w:p>
      <w:r>
        <w:t>IT: DTF 142 II 1</w:t>
      </w:r>
    </w:p>
    <w:p>
      <w:pPr>
        <w:pStyle w:val="Heading2"/>
      </w:pPr>
      <w:r>
        <w:t>Regeste</w:t>
      </w:r>
    </w:p>
    <w:p>
      <w:r>
        <w:t>Regeste Eine Ausgrenzung im Sinne von Art. 74 Abs. 1 lit. a AuG darf eine gewisse Druckwirkung zur Durchsetzung der Ausreisepflicht entfalten, sie muss allerdings dem Grundsatz der Verhältnismässigkeit entsprechen. Die angeordnete Massnahme ist immer daran zu messen, ob damit das gesteckte Ziel erreicht werden kann. Eine Ausgrenzung ist eine Zwangsmassnahme; sie geht weniger weit als der ausländerrechtlich begründete Freiheitsentzug, darf analog diesem aber auch eine gewisse Druckwirkung entfalten. Sie muss geeignet und erforderlich sein sowie die Zweck-Mittel-Relation wahren (E. 2). Die Massnahme ist nicht nur bei ortsspezifischen Delikten möglich; es darf in Rechnung gestellt werden, dass die Gefahr von Delinquenz in der Anonymität grosser Städte ungleich viel höher ist als in der Agglomeration oder gar auf dem Land. Die Verpflichtung eines Ausländers, sich aus der Stadt Zürich fernzuhalten (wo er mehrfach delinquiert hatte), ist deshalb zweckgeeignet, diesen dort an der Begehung weiterer Delikte zu hindern; die angeordnete Massnahme erscheint im konkreten Fall auch sonst nicht unverhältnismässig (E. 3 und 4).</w:t>
      </w:r>
    </w:p>
    <w:p>
      <w:r>
        <w:t>Regeste Une interdiction de pénétrer dans une région déterminée au sens de l'art. 74 al. 1 let. a LEtr peut avoir pour but d'exercer une certaine pression en vue d'assurer le départ d'un étranger tenu de quitter la Suisse; celle-ci doit cependant être conforme au principe de la proportionnalité. Il convient toujours de veiller à ce que la mesure ordonnée permette d'atteindre le but visé. Une interdiction de pénétrer dans une région déterminée est une mesure de contrainte; elle va moins loin que la détention en droit des étrangers, mais, à l'instar de celle-ci, peut aussi avoir pour but d'exercer une certaine pression. Elle doit être adéquate, nécessaire et conforme au principe selon lequel il doit exister un rapport raisonnable entre le but poursuivi et le moyen choisi (consid. 2). La mesure n'est pas seulement possible en cas d'infractions spécifiques à un lieu; le fait que le risque de délinquance dans l'anonymat des grandes villes soit beaucoup plus élevé que dans une petite agglomération, ou même à la campagne, peut être pris en considération. L'interdiction faite à un étranger de pénétrer dans la ville de Zurich (où il a commis plusieurs infractions) est donc apte à atteindre le but visé, à savoir empêcher l'intéressé d'y commettre de nouveaux délits; la mesure ordonnée dans le présent cas n'apparaît par ailleurs pas disproportionnée (consid. 3 et 4).</w:t>
      </w:r>
    </w:p>
    <w:p>
      <w:r>
        <w:t>Regesto Un divieto di accedere ad un dato territorio ai sensi dell'art. 74 cpv. 1 lett. a LStr può comportare una certa pressione all'adempimento dell'obbligo di partenza di uno straniero tenuto a lasciare la Svizzera; esso deve tuttavia rispettare il principio della proporzionalità. Occorre sempre verificare che la misura ordinata possa raggiungere lo scopo al quale mira. Un divieto di accedere ad un dato territorio è una misura coercitiva; esso è meno incisivo della carcerazione basata sul diritto degli stranieri ma, al pari di quest'ultima, può esercitare una certa pressione. Questa misura deve essere adeguata e necessaria e rispettare il principio secondo cui vi deve essere un rapporto ragionevole tra mezzo scelto e scopo perseguito (consid. 2). Essa non è solo possibile in caso di delitti legati a un determinato territorio; può essere tenuto in considerazione che il rischio di delinquenza nell'anonimato di grandi città è più elevato che in piccole agglomerazioni o addirittura in campagna. L'ingiunzione indirizzata a uno straniero di mantenersi lontano dalla Città di Zurigo (dove aveva a più riprese delinquito) è pertanto adatta a raggiungere l'obiettivo perseguito, ovvero di impedirgli di commettervi ulteriori delitti; la misura ordinata nella fattispecie non appare sproporzionata nemmeno per altre ragioni (consid. 3 e 4).</w:t>
      </w:r>
    </w:p>
    <w:p>
      <w:pPr>
        <w:pStyle w:val="Heading2"/>
      </w:pPr>
      <w:r>
        <w:t>Erwägungen</w:t>
      </w:r>
    </w:p>
    <w:p>
      <w:r>
        <w:rPr>
          <w:b/>
        </w:rPr>
        <w:t>E. 2.1</w:t>
      </w:r>
    </w:p>
    <w:p>
      <w:r>
        <w:t>Art. 74 Abs. 1 AuG (SR 142.20) lautet: 1 Die zuständige kantonale Behörde kann einer Person die Auflage machen, ein ihr zugewiesenes Gebiet nicht zu verlassen oder ein bestimmtes Gebiet nicht zu betreten, wenn: a. sie keine Kurzaufenthalts-, Aufenthalts- oder Niederlassungsbewilligung besitzt und sie die öffentliche Sicherheit und Ordnung stört oder gefährdet; diese Massnahme dient insbesondere der Bekämpfung des widerrechtlichen Betäubungsmittelhandels; oder b. 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Wer eine Ein- oder Ausgrenzung gemäss Art. 74 AuG nicht befolgt, wird mit Freiheitsstrafe bis zu drei Jahren oder Geldstrafe bestraft (Art. 119 Abs. 1 AuG).</w:t>
      </w:r>
    </w:p>
    <w:p>
      <w:r>
        <w:rPr>
          <w:b/>
        </w:rPr>
        <w:t>E. 2.2</w:t>
      </w:r>
    </w:p>
    <w:p>
      <w:r>
        <w:t>Die Ausgrenzung nach Art. 74 Abs. 1 lit. a AuG entspricht Art. 13e des früheren ANAG (BS 1 121; BBl 2002 3815 zu Art. 71), so dass die dazu ergangene Rechtsprechung massgebend bleibt (Urteil 2C_437/2009 vom 27. Oktober 2009 E. 2.1). Nach dieser Rechtsprechung kommt der Ausgrenzung eine mehrfache Funktion zu (vgl. THOMAS HUGI YAR, § 10 Zwangsmassnahmen im Ausländerrecht, in: Ausländerrecht, Uebersax/Rudin/Hugi Yar/Geiser [Hrsg.], 2. Aufl. 2009, S. 506 f.): Sie dient einerseits dazu, gegen Ausländer vorgehen zu können, welche die öffentliche Sicherheit und Ordnung gefährden, bei denen aber eine sofortige Wegweisung nicht möglich ist. BGE 142 II 1 S. 4 Sie kommt auch in Betracht, wenn der Ausländer wegen eines länger dauernden Wegweisungshindernisses gar nicht ausgeschafft werden kann, aber die Notwendigkeit besteht, ihn von bestimmten Orten fernzuhalten. Dabei hatte der Gesetzgeber für die Massnahme der Ein- und Ausgrenzung in erster Linie die Betäubungsmitteldelinquenz im Auge, was im Gesetzestext zum Ausdruck kommt. Das schliesst aber nicht aus, auch andere Verstösse gegen Sicherheit und Ordnung zu erfassen, zumal die Bestimmung offen, im Sinne einer Generalklausel, formuliert ist (Urteile 2A.514/2006 vom 23. Januar 2007 E. 3.1; 2A.347/2003 vom 24. November 2003 E. 2.1; 2A.148/ 2003 vom 30. Mai 2003 E. 2.3). Andererseits ist die Ein- und Ausgrenzung - was sich auch aus ihrer systematischen Stellung im Gesetz ergibt - eine Zwangsmassnahme zur Durchsetzung von Fernhaltemassnahmen; sie ist eine mildere Massnahme als die Vorbereitungs-, Ausschaffungs- oder Durchsetzungshaft (Art. 75 ff. AuG; vgl. BBl 2002 3766 f. Ziff. 1.3.13.2), d.h. sie geht weniger weit als der ausländerrechtlich begründete Freiheitsentzug; sie darf analog diesem aber auch eine gewisse Druckwirkung zur Durchsetzung der Ausreisepflicht entfalten (Urteil 2C_1044/2012 vom 5. November 2012 E. 3.1 und 3.4; 2C_231/2007 vom 13. November 2007 E. 3.3). Sie soll zudem - in den Grenzen der Verhältnismässigkeit (dazu unten E. 2.3 und E. 4.4/4.5) - dem Ausländer bewusst machen, dass er sich hier illegal aufhält und nicht vorbehaltslos von den mit einem Anwesenheitsrecht verbundenen Freiheiten profitieren kann (zit. Urteil 2C_1044/2012 E. 3.2). Diese Funktion der Ein- und Ausgrenzung ist heute in Art. 74 Abs. 1 lit. b AuG ausdrücklich erwähnt (vgl. AB 2005 S 373 f., 2005 N 1202 f.). Ihre Stellung im kaskadenartigen System der Vollzugsmassnahmen zeigt sich auch darin, dass die Nichtbefolgung der Ein- und Ausgrenzung ein Grund für die Anordnung der Vorbereitungshaft ist (Art. 75 Abs. 1 lit. b AuG) und bei Unzulässigkeit oder Unverhältnismässigkeit der Haft immerhin eine Ein- oder Ausgrenzung in Frage kommt (Urteil 2C_974/2010 vom 11. Januar 2011 E. 3.3).</w:t>
      </w:r>
    </w:p>
    <w:p>
      <w:r>
        <w:rPr>
          <w:b/>
        </w:rPr>
        <w:t>E. 2.3</w:t>
      </w:r>
    </w:p>
    <w:p>
      <w:r>
        <w:t>Die Massnahme hat allerdings dem Grundsatz der Verhältnismässigkeit zu entsprechen: Sie muss geeignet sein, um das damit verfolgte Ziel erreichen zu können und darf nicht über das hierzu Erforderliche hinausgehen (was insbesondere bei der Festlegung der Grösse des Rayons und der Dauer der Massnahme zu berücksichtigen ist). Auf begründetes Gesuch hin muss die zuständige Behörde für gewisse Gänge zu Behörden, Anwalt, Arzt oder Angehörigen BGE 142 II 1 S. 5 Ausnahmen bewilligen, soweit die entsprechenden Grundbedürfnisse nicht sachgerecht und grundrechtskonform im bezeichneten Aufenthaltsgebiet selber abgedeckt werden können (zit. Urteile 2C_1044/2012 E. 3.3; 2C_231/2007 E. 3.4; 2A.514/2006 E. 3.3.1; HUGI YAR, a.a.O., S. 508 f.). Schliesslich muss die Massnahme auch die Zweck-Mittel-Relation wahren (Verhältnismässigkeit im engeren Sinn; zum Ganzen RAINER J. SCHWEIZER, in: Die schweizerische Bundesverfassung, St. Galler Kommentar, 3. Aufl. 2014, N. 37 ff. zu Art. 36 BV ).</w:t>
      </w:r>
    </w:p>
    <w:p>
      <w:r>
        <w:rPr>
          <w:b/>
        </w:rPr>
        <w:t>E. 2.4</w:t>
      </w:r>
    </w:p>
    <w:p>
      <w:r>
        <w:t>Im vorliegenden Fall haben die Migrationsbehörden eine Ausgrenzung verfügt, weil der Beschwerdegegner in der Stadt Zürich Delikte begangen hatte (dazu sogleich E. 3.) und er daran gehindert werden soll, damit fortzufahren. Im Lichte dieser Zielsetzung nun ist die angeordnete Massnahme zu prüfen. Auch wenn die Ein- oder Ausgrenzung nach Art. 74 Abs. 1 AuG verschiedenen Zwecken dient (vorne E. 2.2), geht es also immer darum zu bestimmen, welches Ziel angestrebt wird und - in einem zweiten Schritt - gestützt auf diese Zielsetzung die geeignete(n) Massnahme(n) zu treffen. Mit der Vorinstanz ist darin übereinzustimmen, dass sich die Behörde zunächst darüber klar werden muss, welches Ziel mit der anzuordnenden Beschränkung der Bewegungsfreiheit erreicht werden soll, alsdann ist die ins Auge gefasste Massnahme daran zu messen, ob damit das gesteckte Ziel erreicht werden kann.</w:t>
      </w:r>
    </w:p>
    <w:p>
      <w:r>
        <w:rPr>
          <w:b/>
        </w:rPr>
        <w:t>E. 3.1</w:t>
      </w:r>
    </w:p>
    <w:p>
      <w:r>
        <w:t>Gemäss Feststellung der Vorinstanz wurde der Beschwerdegegner mit Urteil des Obergerichts des Kantons Zürich vom 22. August 2005 wegen Diebstahls und mehrfachen Hausfriedensbruchs mit drei Monaten Gefängnis bedingt bestraft. Die Staatsanwaltschaft Winterthur/Unterland bestrafte ihn am 18. Juli 2013 mit einer bedingten Geldstrafe von 30 Tagessätzen und einer Busse von Fr. 300.- wegen Hausfriedensbruchs und geringfügigen Diebstahls. Sodann verurteilte ihn die Staatsanwaltschaft Limmattal/Albis am 18. März 2014 wegen mehrfacher Drohung und mehrfacher Tätlichkeiten zu einer bedingten Freiheitsstrafe von 6 Monaten und einer Busse von Fr. 500.-.</w:t>
      </w:r>
    </w:p>
    <w:p>
      <w:r>
        <w:rPr>
          <w:b/>
        </w:rPr>
        <w:t>E. 3.2</w:t>
      </w:r>
    </w:p>
    <w:p>
      <w:r>
        <w:t>Die Vorinstanz hat hingegen keine Feststellungen zum Bewilligungsstatus des Beschwerdegegners gemacht, so dass entgegen der gesetzlichen Vorschrift ( Art. 112 Abs. 1 lit. b BGG ) der für die Anwendung von Art. 74 AuG rechtserhebliche Sachverhalt aus dem angefochtenen Urteil nicht ersichtlich ist. Dieser lässt sich jedoch aus BGE 142 II 1 S. 6 den Akten und aus den Vorbringen der Parteien vervollständigen ( Art. 105 Abs. 2 BGG ), so dass sich eine Rückweisung an die Vorinstanz zur Vervollständigung des Sachverhalts erübrigt:</w:t>
      </w:r>
    </w:p>
    <w:p>
      <w:r>
        <w:rPr>
          <w:b/>
        </w:rPr>
        <w:t>E. 3.3</w:t>
      </w:r>
    </w:p>
    <w:p>
      <w:r>
        <w:t>Aus der Verfügung des Bezirksgerichts vom 16. Dezember 2014 geht hervor, dass der Beschwerdegegner vom Bundesamt für Migration für die Dauer des Asylverfahrens dem Kanton Zürich zugewiesen wurde und er sich ohne Kurzaufenthalts-, Aufenthalts- oder Niederlassungsbewilligung im Kanton Zürich aufhält. Der Beschwerdegegner hat dies in seiner Beschwerde an das Verwaltungsgericht nicht bestritten. Das SEM führt zudem in seiner Beschwerde gestützt auf das amtsnotorische ZEMIS aus, der Beschwerdegegner habe 1994 ein Asylgesuch gestellt, welches am 5. Mai 1995 abgelehnt worden sei unter gleichzeitiger Wegweisung aus der Schweiz und Zuweisung an den Kanton Zürich zum Vollzug. Der Beschwerdegegner sei der Ausreiseaufforderung nicht gefolgt und halte sich vermutlich seit Rechtskraft des negativen Asylentscheids illegal in der Schweiz auf; aufgrund seines unkooperativen Verhaltens seien auch die Bemühungen des SEM im Rahmen der Vollzugsunterstützung erfolglos geblieben und 2004 eingestellt, 2013 aber wieder aufgenommen worden. Der Beschwerdegegner hat diese Darstellung in seiner Beschwerdeantwort nicht bestritten. Von diesem Sachverhalt kann ausgegangen werden.</w:t>
      </w:r>
    </w:p>
    <w:p>
      <w:r>
        <w:rPr>
          <w:b/>
        </w:rPr>
        <w:t>E. 4.1</w:t>
      </w:r>
    </w:p>
    <w:p>
      <w:r>
        <w:t>Bei diesem Sachverhalt sind die Voraussetzungen für eine Ein- oder Ausgrenzung sowohl nach lit. a als auch nach lit. b von Art. 74 Abs. 1 AuG grundsätzlich gegeben. Auch nach Auffassung der Vorinstanz besteht aufgrund der begangenen Delikte die Befürchtung, dass der Beschwerdegegner in Zukunft ähnliche Straftaten begehen könnte. Sie hat indessen erwogen, bei der Ausgrenzung nach Art. 74 AuG gehe es darum, den Betroffenen konkret von einem bestimmten Ort fernzuhalten. Die vom Beschwerdegegner begangenen Delikte seien jedoch nicht ortsspezifisch; zwar hätten sich zwei Delikte in der Stadt Zürich ereignet, andere jedoch in Winterthur bzw. in U. Solche Delikte könnten nicht nur in Zürich, sondern überall sonst begangen werden. Die Ausgrenzung sei daher nicht geeignet, eine Beeinträchtigung der öffentlichen Sicherheit und Ordnung zu verhindern, und damit kein taugliches Instrument.</w:t>
      </w:r>
    </w:p>
    <w:p>
      <w:r>
        <w:rPr>
          <w:b/>
        </w:rPr>
        <w:t>E. 4.2</w:t>
      </w:r>
    </w:p>
    <w:p>
      <w:r>
        <w:t>Das SEM macht geltend, die vom Beschwerdegegner begangenen Delikte gefährdeten die öffentliche Sicherheit und Ordnung. Es BGE 142 II 1 S. 7 spiele keine Rolle, dass sich die Delikte auch an anderen Orten hätten ereignen können. Mit der Ausgrenzung solle erreicht werden, dass der Betroffene daran gehindert werde, an dem Ort, an dem er delinquiert habe, erneut zu delinquieren. Um jede Gefährdung auszuschliessen, müsste eine Administrativhaft angeordnet werden, was einen viel grösseren Eingriff darstellen würde. Zudem könne sich die Massnahme sehr wohl auch grundsätzlich auf das Verhalten der betroffenen Person auswirken; der Beschwerdegegner müsse damit rechnen, dass er bei fortgesetzter deliktischer Tätigkeit auch aus anderen Gebieten ausgegrenzt werde. Mit der Ausgrenzung sei zudem das Ziel verbunden, dass der Beschwerdegegner für die Behörden besser erreichbar sei, mit ihnen besser kooperiere und konkrete Schritte zur Organisation seiner Ausreise unternehme. Die Ausgrenzung sei zudem ein milderes Mittel als die Eingrenzung auf ein bestimmtes Gebiet oder die Anordnung einer Administrativhaft.</w:t>
      </w:r>
    </w:p>
    <w:p>
      <w:r>
        <w:rPr>
          <w:b/>
        </w:rPr>
        <w:t>E. 4.3</w:t>
      </w:r>
    </w:p>
    <w:p>
      <w:r>
        <w:t>Der Beschwerdegegner bestreitet, Körperverletzungen und Drogendelikte begangen zu haben. Im Übrigen wendet er sich gegen eine Rückkehr nach Liberia; er lebe seit 1994 in der Schweiz. Er habe eine Freundin und viele Bekannte in der Stadt Zürich, die ihn unterstützten.</w:t>
      </w:r>
    </w:p>
    <w:p>
      <w:r>
        <w:rPr>
          <w:b/>
        </w:rPr>
        <w:t>E. 4.4</w:t>
      </w:r>
    </w:p>
    <w:p>
      <w:r>
        <w:t>Zunächst kann die Überlegung der Vorinstanz, wonach die Ausgrenzung nur bei ortsspezifischen Delikten möglich sei, nicht überzeugen. Zwar bezweckt die Ausgrenzung (auch oder in erster Linie), den Ausländer von (weiterer) deliktischer Tätigkeit an den allfälligen Tatorten abzuhalten (Urteil 2A.148/2003 vom 30. Mai 2003 E. 3.4) und dient sie namentlich auch der Unterbindung des Betäubungsmittelhandels, wobei es oft darum geht, die betreffenden Personen von notorischen Drogenumschlagplätzen fernzuhalten. Aber die Bekämpfung des Betäubungsmittelhandels ist nicht die einzige Deliktform, die von Art. 74 AuG erfasst wird (Urteil 2A.514/2006 vom 23. Januar 2007 E. 3.1). Sodann kann auch Betäubungsmittelhandel wie jede andere deliktische Tätigkeit grundsätzlich überall ausgeübt werden. Mit der Argumentation der Vorinstanz wäre eine Ausgrenzung gar nie möglich, weil die Delinquenz immer auch an anderen Orten ausgeübt werden kann. Das Bundesgericht hat einer solchen Auffassung jedoch bereits eine Absage erteilt (Urteil 2A.514/2006 vom 23. Januar 2007 E. 3.3.4). Im vorliegenden Fall besteht das Ziel der verfügenden Behörde (vgl. vorne E. 2.4) darin, den Beschwerdeführer daran zu hindern, in der BGE 142 II 1 S. 8 Stadt Zürich weitere Delikte zu begehen (wie dies in der Vergangenheit mehrfach vorgekommen ist). Eine Ausgrenzung darf - wie vorne in E. 2.2 gezeigt - durchaus dazu dienen, eine Person, bei welcher die Voraussetzungen von Art. 74 Abs. 1 AuG gegeben sind, von einem Ort fernzuhalten, wo sie mehrfach delinquiert hat bzw. ihr deliktisches Verhalten seinen Anfang nahm (hier, als der Beschwerdegegner vom Zürcher Hauptbahnhof aus eine Frau verfolgte). Dabei kann die verfügende Behörde in Rechnung stellen, dass die Gefahr von Delinquenz in der Anonymität grösserer Städte ungleich viel höher ist als in der Agglomeration oder gar - der stärkeren Sozialkontrolle wegen - auf dem Land. Die gegenüber dem Beschwerdegegner verfügte Massnahme erscheint demnach (entgegen der Auffassung der Vorinstanz) durchaus zweckgeeignet, das damit angestrebte Ziel zu erreichen.</w:t>
      </w:r>
    </w:p>
    <w:p>
      <w:r>
        <w:rPr>
          <w:b/>
        </w:rPr>
        <w:t>E. 4.5</w:t>
      </w:r>
    </w:p>
    <w:p>
      <w:r>
        <w:t>Auch sonst sind keine Gründe ersichtlich, welche die vom Bezirksgericht bestätigte Ausgrenzung als unverhältnismässig erscheinen liessen: Einerseits hält sich der Beschwerdegegner offenbar ohnehin illegal in der Schweiz auf; die Ausgrenzung verbietet ihm nichts, was ihm nicht bisher bereits verboten wäre (Art. 10 ff. und Art. 115 Abs. 1 lit. b AuG), sondern versieht dieses Verbot lediglich mit einer zusätzlichen und höheren Strafandrohung (Art. 119 Abs. 1 AuG). Sodann darf und soll die Massnahme eine gewisse Druckwirkung ausüben und für die Betroffenen spürbar sein, ansonsten sie sinnlos wäre (vorne E. 2.2); dass sie dem Beschwerdegegner verunmöglicht, Freundin oder Kollegen in der Stadt Zürich zu treffen, lässt sie nicht als unverhältnismässig erscheinen (vgl. Urteil 2C_231/ 2007 vom 13. November 2007 E. 3.4). Es kann erwartet werden, dass seine Bekannten nötigenfalls zu ihm reisen (vgl. zit. Urteil 2C_1044/ 2012 E.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