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481</w:t>
      </w:r>
    </w:p>
    <w:p>
      <w:r>
        <w:t>Bundesgericht (BGE), 2016-03-11, DE</w:t>
      </w:r>
    </w:p>
    <w:p>
      <w:r>
        <w:rPr>
          <w:b/>
        </w:rPr>
        <w:t xml:space="preserve">Quelle: </w:t>
      </w:r>
      <w:r>
        <w:t>https://mcp.opencaselaw.ch/entscheid/bge_BGE_142_III_481</w:t>
      </w:r>
    </w:p>
    <w:p>
      <w:r>
        <w:t>FR: ATF 142 III 481</w:t>
      </w:r>
    </w:p>
    <w:p>
      <w:r>
        <w:t>IT: DTF 142 III 481</w:t>
      </w:r>
    </w:p>
    <w:p>
      <w:pPr>
        <w:pStyle w:val="Heading2"/>
      </w:pPr>
      <w:r>
        <w:t>Regeste</w:t>
      </w:r>
    </w:p>
    <w:p>
      <w:r>
        <w:t>Regeste Art. 301a Abs. 2 lit. a und Abs. 5 ZGB; Wegzug des Kindes ins Ausland. Regelungszuständigkeit des nationalen Gesetzgebers (E. 2.3). Entwurf des Bundesrates und parlamentarische Beratung (E. 2.4). Respektierung der Niederlassungs- bzw. Bewegungsfreiheit der Eltern (E. 2.5). Prüfung des geeigneten Aufenthaltsortes des Kindes anhand des Kindeswohls ausgehend vom Wegzug des einen Elternteils (E. 2.6). Kriterien für diese Prüfung; Betreuungskonzept als Ausgangspunkt (E. 2.7). Obligatorische Prüfung einer Anpassung der Betreuungs-, Besuchs- und Unterhaltsregelung (E. 2.8).</w:t>
      </w:r>
    </w:p>
    <w:p>
      <w:r>
        <w:t>Regeste Art. 301a al. 2 let. a et al. 5 CC; départ de l'enfant pour l'étranger. Compétence normative du législateur national (consid. 2.3). Projet du Conseil fédéral et débats parlementaires (consid. 2.4). Respect des libertés d'établissement et de mouvement des parents (consid. 2.5). Examen du lieu de résidence approprié de l'enfant en fonction du bien de celui-ci, compte tenu du déménagement de l'un des parents (consid. 2.6). Critères pour cet examen; mode de prise en charge comme point de départ de l'analyse (consid. 2.7). Examen obligatoire de l'adaptation des modalités régissant la prise en charge, les relations personnelles et l'entretien (consid. 2.8).</w:t>
      </w:r>
    </w:p>
    <w:p>
      <w:r>
        <w:t>Regesto Art. 301a cpv. 2 lett. a e cpv. 5 CC; trasferimento del figlio all'estero. Competenza normativa del legislatore nazionale (consid. 2.3). Progetto del Consiglio federale e lavori parlamentari (consid. 2.4). Rispetto delle libertà di domicilio e di movimento dei genitori (consid. 2.5). Esame del luogo di dimora appropriato del figlio in funzione del bene di quest'ultimo alla luce del trasferimento di un genitore (consid. 2.6). Criteri per tale esame; modello di partecipazione alla cura del figlio quale punto di partenza dell'analisi (consid. 2.7). Esame obbligatorio di una modifica della partecipazione alla cura del figlio, delle relazioni personali e del mantenimento (consid. 2.8).</w:t>
      </w:r>
    </w:p>
    <w:p>
      <w:pPr>
        <w:pStyle w:val="Heading2"/>
      </w:pPr>
      <w:r>
        <w:t>Erwägungen</w:t>
      </w:r>
    </w:p>
    <w:p>
      <w:r>
        <w:rPr>
          <w:b/>
        </w:rPr>
        <w:t>E. 2</w:t>
      </w:r>
    </w:p>
    <w:p>
      <w:r>
        <w:t>Umstritten ist in erster Linie, ob der Mutter zu erlauben ist, den Aufenthaltsort der Kinder nach Graz zu verlegen. Dies richtet sich nach Art. 301a Abs. 2 lit. a ZGB , welcher auf den 1. Juli 2014 in Kraft getreten ist.</w:t>
      </w:r>
    </w:p>
    <w:p>
      <w:r>
        <w:rPr>
          <w:b/>
        </w:rPr>
        <w:t>E. 2.1</w:t>
      </w:r>
    </w:p>
    <w:p>
      <w:r>
        <w:t>Die kantonalen Gerichte sind von der Tatsache ausgegangen, dass die Kinder hauptsächlich von der Mutter betreut werden, und haben erwogen, dass diesfalls die Verlegung des Aufenthaltsortes nur in Ausnahmefällen zu verweigern sei. Zwar könne das Besuchsrecht des Vaters durch die langen Reisewege weniger oft ausgeübt werden und würden spontane Besuche unmöglich. Auf der anderen Seite habe die Mutter ihren Umzugswunsch gut begründet. Sie wolle nach der Trennung zu ihren Wurzeln und in ihr Heimatland zurückkehren, zumal sie sich in der Schweiz nicht integriert fühle. Es sei nachvollziehbar, dass sie in Graz punkto Arbeitsbedingungen (Gastgewerbe), subjektives Wohlbefinden und Kinderfremdbetreuung bessere Perspektiven sehe. Im Übrigen seien dort ähnliche Lebensbedingungen zu erwarten und für die Kinder seien keine Gefahren ersichtlich, zumal sie österreichische Staatsbürger seien und es um das gleiche sprachliche Umfeld gehe. Was den Vater anbelange, zeige sich auch in den neusten Eingaben kein besonders inniges und vertrautes Verhältnis mit den Kindern. Die gelebte Betreuungssituation würde sich mit einem Wegzug nicht verändern; er verlange denn auch weiterhin "bloss" ein übliches Besuchsrecht und wolle keine namhaften Betreuungsanteile übernehmen. Es wäre deshalb unangemessen, der Mutter den Wegzug zu verbieten; vielmehr sei das Besuchsrecht des Vaters an die beabsichtigte neue Situation anzupassen.</w:t>
      </w:r>
    </w:p>
    <w:p>
      <w:r>
        <w:rPr>
          <w:b/>
        </w:rPr>
        <w:t>E. 2.2</w:t>
      </w:r>
    </w:p>
    <w:p>
      <w:r>
        <w:t>Der Vater macht beschwerdeweise geltend, die Kinder hätten das Recht auf Betreuung durch beide Elternteile und der Kontakt dürfe nicht durch einen Umzug faktisch vereitelt werden. Die Mutter habe den Umzug nicht sorgfältig geplant und überlegt; insbesondere könne sie für Graz weder eine Arbeit noch eine Wohnung nachweisen. Es sei völlig willkürlich, wenn das Kantonsgericht festgehalten habe, sie könne dies aufgrund der eingelegten Rechtsmittel nicht. Es sei im Übrigen zynisch zu sagen, Graz biete gute Arbeits-, Sozial- und Wohnverhältnisse; das Kindeswohl stehe bereits dann in Frage, wenn die Arbeits-, Wohn- und Betreuungssituation am neuen Ort nicht vollständig klar sei, zumal die Mutter in U. BGE 142 III 481 S. 484 erwiesenermassen über eine Arbeit und eine Wohnung verfüge. Es sei auch nicht nachvollziehbar, weshalb sie sich trotz ihres langjährigen Aufenthaltes in der Schweiz nicht integriert fühle, er selbst sei ja auch Ausländer, sogar mit anderer Muttersprache, und habe sich problemlos integrieren können. Die Mutter verfüge in Graz nicht mehr über viele soziale Kontakte und es sei fraglich, ob sie sich dort ein Netz aufbauen könne. Sodann verfüge sie nicht über die nötige Bindungstoleranz; die gegenteiligen Feststellungen beruhten auf willkürlicher Beweiswürdigung. Im Übrigen werde sein Besuchsrecht mit einer Bewilligung des Umzuges in unzulässiger Weise beschnitten. Auch die Tatsache einer binationalen Ehe mache den Umzug nicht zulässig. Das Kantonsgericht missachte das Kindeswohl, wenn es den Umzug bewillige, zumal zweifelsfrei feststehen müsste, dass der Umzug wohl überlegt und nicht rechtsmissbräuchlich sei. Die Mutter bringt vernehmlassungsweise vor, der Umzug in ihre Heimat sei wohl überlegt. Sie könne aber keinen Arbeits- und Mietvertrag unterzeichnen oder die Kinder in der Schule anmelden, solange aufgrund der väterlicherseits eingereichten Rechtsmittel nicht feststehe, wann sie ausreisen könne. Der Vater verlange deshalb Beweise, welche objektiv nicht erbracht werden könnten. Es gehe nicht um ein entlegenes, exotisches oder gefährliches Land, weshalb die Befürchtungen des Vaters unbegründet seien; die Kinder wären in Graz ebenso gut versorgt, beschult und betreut. Im Übrigen seien für sie die Arbeitsbedingungen in Graz besser; sie verliere ihre Arbeitsstelle in der Schweiz und werde ab 2016 zur Sozialhilfebezügerin, soweit sie nichts Neues finde.</w:t>
      </w:r>
    </w:p>
    <w:p>
      <w:r>
        <w:rPr>
          <w:b/>
        </w:rPr>
        <w:t>E. 2.3</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auch für geschiedene oder nicht miteinander verheiratete Eltern (zu den Ausnahmen vgl. BGE 141 III 472 ). Während unter altem Recht das Aufenthaltsbestimmungsrecht als Teil des Obhutsrechtes aufzufassen war (vgl. BGE 136 III 353 ), bestimmt die Gesetzesnovelle, dass die elterliche Sorge das Recht einschliesst, den Aufenthaltsort des Kindes zu bestimmen ( Art. 301a Abs. 1 ZGB ). Üben die Eltern die elterliche Sorge gemeinsam aus und will ein Elternteil den Aufenthaltsort des Kindes wechseln, so bedarf dies der Zustimmung des andern Elternteils oder der Entscheidung des Gerichts bzw. der Kindesschutzbehörde, wenn der neue Aufenthaltsort im Ausland BGE 142 III 481 S. 485 liegt oder der Wechsel des Aufenthaltsortes erhebliche Auswirkungen auf die Ausübung der elterlichen Sorge und den persönlichen Verkehr durch den andern Elternteil hat ( Art. 301a Abs. 2 ZGB ). Grundgedanke dieser Norm ist, dass die Beziehung zu den Elternteilen vom Aufenthaltsort des Kindes abhängt und deshalb keiner alleine diesen verlegen können soll, wenn dadurch die Ausübung der Elternrechte des andern erheblich betroffen werden (vgl. Botschaft vom 16. November 2011, BBl 2011 9107 f. zu Art. 301a). Für die transnationale Verlegung des Aufenthaltsortes war zudem die Überlegung wesentlich, dass damit ein Wechsel der Jurisdiktion in Bezug auf die Kinderbelange verbunden ist (vgl. Art. 5 des Haager Kindesschutzübereinkommens vom 19. Oktober 1996 [HKsÜ; SR 0.211.231.011] und Art. 5 Abs. 2 lit. a und c des Lugano-Übereinkommens vom 30. Oktober 2007 [LugÜ; SR 0.275.12]), weshalb unabhängig von der Distanz des neuen Aufenthaltsortes und dem konkreten Einfluss auf die Ausübung der elterlichen Sorge die Zustimmung des anderen Elternteils bzw. des Gerichtes oder der Kindesschutzbehörde erforderlich sein soll (Botschaft, BBl 2011 9108 zu Art. 301a). Die materielle Regelungszuständigkeit für die Fragen der elterlichen Sorge, der Obhut bzw. der Betreuung, des persönlichen Verkehrs und des Aufenthaltsbestimmungsrechtes obliegt bislang ausschliesslich dem nationalen Gesetzgeber. Zwar gibt es in diesem Sachbereich auf internationaler Ebene verschiedene Übereinkommen; diese betreffen aber einzig die Zuständigkeiten, das anwendbare Recht und die Urteilsanerkennung bzw. -vollstreckung. Sodann bestehen Rechtshilfeabkommen bei internationalen Kindesentführungen, namentlich das Haager Entführungsübereinkommen vom 25. Oktober 1980 (HKÜ; SR 0.211.230.02). Dieses regelt die Folgen der Verletzung einer dem anderen Elternteil ausschliesslich oder gemeinsam zustehenden Sorgerechtsposition (Art. 3 HKÜ) bzw. des Aufenthaltsbestimmungsrechtes über das Kind (Art. 5 HKÜ). Wem in materieller Hinsicht das Aufenthaltsbestimmungsrecht zusteht, so dass es zu einer widerrechtlichen Verletzung im Sinn von Art. 3 und 5 HKÜ und somit zu einer Entführung im Sinn des HKÜ kommen kann, ist jedoch zwangsläufig nicht im Übereinkommen normiert; vielmehr bemisst sich dies nach dem Recht, welches gemäss dem internationalen Privatrecht im Staat des gewöhnlichen Aufenthaltes des Kindes vor dem widerrechtlichen Verbringen Anwendung findet (vgl. Urteil 5A_764/2009 vom 11. Januar 2010 E. 3.1). BGE 142 III 481 S. 486 Was die materiellen Aspekte anbelangt, gibt es auf internationaler Ebene im Zusammenhang mit dem Aufenthaltsbestimmungsrecht und dem Wegzug von Kindern (sog. Relocation) erst verschiedene Bemühungen für eine mögliche künftige Vereinheitlichung, welche indes für den nationalen Gesetzgeber bislang in keiner Hinsicht verbindlich sind. Zu nennen ist die sog. Washingtoner Erklärung (Washington Declaration on International Family Relocation), welche von der internationalen Richterkonferenz (International Judicial Conference) im März 2010 verabschiedet wurde. Darin wird ein Katalog von Entscheidungskriterien aufgeführt, wenn sich die Eltern nicht über den Aufenthaltsort des Kindes im Wegzugsfall einigen können. Unter anderem werden die Möglichkeit der Aufrechterhaltung einer Beziehung zu beiden Elternteilen, die Wünsche des Kindes, die Vorschläge der Eltern, die Gründe für den Wegzug, die Erziehungskontinuität, die vorbestehende Sorge- und Umgangsrechtsregelung, die Vollstreckbarkeit der Vereinbarung und die Mobilität der Familienmitglieder als mögliche Kriterien genannt, wobei zwischen diesen ausdrücklich keine Hierarchie bestehen soll. Zu erwähnen ist weiter die Empfehlung des Europarates vom Mai 2011 betreffend Kinderrechte (Recommendation on the Rights and Legal Status of Children and Parental Responsibilities), deren "Principle 31" sich der "Residence and Relocation" widmet. Die darin enthaltenen Empfehlungen gehen dahin, dass die Staaten geeignete Mechanismen wie die Mediation fördern und im Streitfall die zuständige Behörde entscheiden soll, soweit das nationale Recht nichts anderes vorsieht; dabei sollte in erster Linie auf das Kindeswohl abgestellt, im Übrigen aber auch alle weiteren relevanten Faktoren gebührend berücksichtigt werden. Schliesslich sind auf der Haager Ebene Arbeiten im Gang, Grundlagen im Bereich der Relocation zu schaffen. Im Januar 2012 veröffentlichte das Ständige Büro (Permanent Bureau) der Haager Konferenz einen Vorbericht (Preliminary Note on International Family Relocation), in welchem es empfahl, dass die Spezialkommission (Special Commission) weitere Untersuchungen zum Thema anstellt (Preliminary Note, Rz. 83). Diese hielt im Januar 2012 fest, dass die Washingtoner Erklärung eine taugliche Basis für kommende Arbeiten bilde und weitere Grundlagenarbeit zu erbringen sei (Conclusions and Recommendations, Rz. 83 f.). Der erwähnte Vorbericht des Ständigen Büros hebt hervor, dass sich die jüngere sozio-psychologische Forschung keineswegs einig sei, ob dem Kindeswohl mit umfangreichem Kontakt zu beiden Elternteilen (was die Erlaubnis des Wegzuges tendenziell BGE 142 III 481 S. 487 ausschliesst) am besten Rechnung getragen sei oder ob in erster Linie die Qualität des Kontaktes zum hauptbetreuenden Elternteil (was den Wegzug tendenziell erlaubt) für das Gedeihen des Kindes verantwortlich sei (Preliminary Note, Rz. 32). Weiter hält der Vorbericht fest, dass nur wenige Staaten die Relocation konkret geregelt und spezifische Verfahrensnormen aufgestellt hätten (Preliminary Note, Rz. 44 f.). Etliche Staaten gingen das Problem unter dem Aspekt des Sorge- bzw. Obhutsrechts und dessen Abänderung an (Preliminary Note, Rz. 46). Der Vorbericht weist ferner darauf hin, dass für den Ausgang des Wegzugsverfahrens entscheidend sein könne, ob bestimmte Vermutungen oder Beweislastregeln gälten oder die Beweise frei zu würdigen seien oder sogar die Offizialmaxime gelte (Preliminary Note, Rz. 48 ff.). Aus dem Gesagten ergibt sich, dass der nationale Gesetzgeber dazu aufgerufen, aber inhaltlich frei ist, das Aufenthaltsbestimmungsrecht in Bezug auf die Kinder, insbesondere im Zusammenhang mit der Frage des Wegzuges, zu regeln. Wie die mit der Gesetzesnovelle vom 21. Juni 2013 erfolgte Normierung aussieht, ist nachfolgend darzustellen.</w:t>
      </w:r>
    </w:p>
    <w:p>
      <w:r>
        <w:rPr>
          <w:b/>
        </w:rPr>
        <w:t>E. 2.4</w:t>
      </w:r>
    </w:p>
    <w:p>
      <w:r>
        <w:t>Im Entwurf des Bundesrates war Art. 301a Abs. 2 ZGB dahingehend formuliert, dass der Wegzug des anderen Elternteiles und des Kindes zustimmungsbedürftig sei ("Üben die Eltern die elterliche Sorge gemeinsam aus und will ein Elternteil seinen Aufenthaltsort oder jenen des Kindes wechseln, so bedarf dies der Zustimmung ..."). Die Botschaft des Bundesrates vom 16. November 2011 betonte diesbezüglich, dass auch ein Ortswechsel nur des Elternteiles allein (insbesondere auch der Ortswechsel des nicht hauptbetreuenden Elternteils) des elterlichen Konsenses bedürfe (BBl 2011 9107 zu Art. 301a). Dass der Umzug einer erwachsenen Person aufgrund der Tatsache eines gemeinsamen Kindes von der Zustimmung einer anderen Person abhängig sein sollte, stiess in der Vernehmlassung auf Kritik und führte in der parlamentarischen Beratung zu Kontroversen (vgl. die nationalrätliche Debatte, AB 2012 N 1652 ff., und die ständerätliche Debatte, AB 2013 S 12 ff.), weil damit eine Anzahl von verfassungsmässigen Rechten (insbesondere die Niederlassungsfreiheit, Art. 24 BV , aber auch die persönliche Freiheit und die Gewerbefreiheit, vgl. TUOR/SCHNYDER/JUNGO, Das schweizerische Zivilgesetzbuch, 14. Aufl. 2015, S. 514), beeinträchtigt worden wären. BGE 142 III 481 S. 488 Die vorberatende Kommission des Ständerates bzw. der Ständerat trug der geäusserten Kritik dahingehend Rechnung (vgl. AB 2013 S 13 ff.), dass in Abs. 2 die Zustimmungsbedürftigkeit auf die Veränderung des Aufenthaltsortes des Kindes beschränkt und Art. 301a ZGB im Übrigen um die Absätze 3-5 ergänzt wurde (Informationspflicht bei alleinigem Sorgerecht; Informationspflicht in Bezug auf den eigenen Wohnsitzwechsel; Verständigung bzw. Entscheid über die Anpassung der Sorge, der Obhut, des persönlichen Verkehrs und des Unterhaltes). Der Nationalrat stimmte dieser Fassung von Art. 301a ZGB zu (AB 2013 N 704). Bundesrätin Sommaruga nahm im Ständerat zur Kritik an der ursprünglichen Fassung des Entwurfes wie folgt Stellung: Der Zweck der Norm bestehe in der Tat nicht darin, den Umzug eines Elternteils zu verhindern, sondern die Eltern dazu zu bewegen, vor einem Umzug dessen Auswirkungen auf die Ausübung der gemeinsamen elterlichen Sorge zu prüfen und wenn nötig die bestehende Regelung über die Kinderbelange anzupassen. Die ständerätliche Kommission habe sich wirklich bemüht, eine Lösung zu finden, die dieses Anliegen etwas besser zum Ausdruck bringe, und sie [Bundesrätin Sommaruga] dürfe heute sagen, dass dies der Kommission sehr gut gelungen sei (AB 2013 S 14).</w:t>
      </w:r>
    </w:p>
    <w:p>
      <w:r>
        <w:rPr>
          <w:b/>
        </w:rPr>
        <w:t>E. 2.5</w:t>
      </w:r>
    </w:p>
    <w:p>
      <w:r>
        <w:t>Was die Auslegung von Art. 301a ZGB und dabei insbesondere die für die Wegzugsfrage relevanten Kriterien anbelangt, bildet der mit der verabschiedeten Fassung von Abs. 2 bewusst getroffene Entscheid des Gesetzgebers, dass die Niederlassungs- bzw. die Bewegungsfreiheit der Elternteile zu respektieren ist, den Ausgangspunkt. Diese gesetzgeberische Wertung ist nicht nur im Zusammenhang mit den verfassungsmässigen Rechten der Eltern (Niederlassungsfreiheit, persönliche Freiheit, Gewerbefreiheit), sondern ebenso im Kontext mit dem Grundsatz der Familienautonomie, welcher das Zivilgesetzbuch prägt, zu lesen. Es besteht ein allgemeiner gesellschaftlicher Konsens, dass der Staat grundsätzlich nicht in die Lebensplanung der Eltern eingreifen soll. Dies gilt auch für die Aufenthaltsfrage der Kinder. Familien können beliebig herumziehen oder auswandern; es bestehen keinerlei Genehmigungspflichten, und der Staat enthält sich selbst dann einer Intervention, wenn die damit einhergehende Relocation des Kindes seinem Wohl abträglich ist oder gegen dessen ausdrücklichen Willen geschieht. Die Respektierung der privatautonomen elterlichen Entscheidung durch den Staat beruht letztlich auf der Annahme, dass die Eltern ihre Verantwortung wahrnehmen und am besten dazu berufen sind, die BGE 142 III 481 S. 489 Maxime des Kindeswohles mit Inhalt zu füllen (vgl. sinngemäss COESTER-WALTJEN, Relocation - from Theory to Practice, Interdisziplinäre Zeitschrift für Familienrecht [iFamZ] 2012 S. 312). Es wäre wenig einsichtig, weshalb für den Fall des elterlichen Dissenses in Bezug auf die Relocation des Kindes die Elternautonomie aufgehoben sein (COESTER-WALTJEN, a.a.O., S. 313) und es zu einer Diskussion über die Motive für den Wegzug und damit zu einer staatlichen "Gesinnungsschnüffelei" (vgl. FASSBIND, Inhalt des gemeinsamen Sorgerechts, der Obhut und des Aufenthaltsbestimmungsrechts im Lichte des neuen gemeinsamen Sorgerechts als Regelfall, AJP 2014 S. 699) durch den Richter oder die Kindesschutzbehörde kommen sollte. Im Zusammenhang mit der Grundrechtsausübung ist schliesslich zu bemerken, dass es keineswegs nur um die Niederlassungsfreiheit, sondern ebenso sehr um die persönliche Freiheit bzw. die Freiheit der Lebensgestaltung an sich geht. Freilich können Betreuungspflichten zu einer Einschränkung dieser Rechte, aber insbesondere auch zu faktischen Schwierigkeiten bei der Ausübung dieser Freiheiten führen; dies ist bei zusammenlebenden Paaren nicht anders als bei alleinerziehenden Eltern. Die Tatsache, dass gemeinsame Kinder vorhanden sind, ist aber kein Grund, die Ausübung von Freiheitsrechten über das Konzept des Gesetzgebers hinaus zu beschneiden. Dies ergibt sich insbesondere auch aus einer Parallelwertung mit anderen familienrechtlichen Instituten, welche auf der Ausübung von Grundfreiheiten beruhen und die Lebensplanung betreffen. Beispielsweise hat der Gesetzgeber die Scheidungsfreiheit nicht beschränkt, nur weil aus der Ehe gemeinsame Kinder hervorgegangen sind; dem Scheidungsbegehren eines Elternteils ist selbst dann stattzugeben, wenn der andere Teil scheidungsunwillig ist oder es der grösste Wunsch der Kinder wäre, dass die Eltern zusammenbleiben. Es wird mit anderen Worten von der sich aus einseitiger Willensausübung ergebenden Scheidungstatsache ausgegangen und als Folge werden die Kinderbelange neu geregelt, wobei das Kindeswohl hierfür die Leitmaxime bildet ( Art. 133 Abs. 2 ZGB ). Ebenso wenig ist ein Elternteil daran gehindert, durch das Eingehen einer (neuen) Ehe von seiner Ehefreiheit Gebrauch zu machen, selbst wenn der frühere Partner damit nicht einverstanden ist oder sich die Kinder aus der früheren Beziehung dagegen auflehnen und eine Beeinträchtigung des Kindeswohls zur Debatte steht. Auch hier wird von der sich aus dem Heiratswillen des einen Elternteils ergebenden Tatsache der (Neu-)Verheiratung ausgegangen und sind BGE 142 III 481 S. 490 als Folge gegebenenfalls die Belange der aus der früheren Beziehung stammenden Kinder anzupassen, wiederum unter Beachtung des Kindeswohl als oberster Maxime. Aus dem gleichen Wertungsgedanken heraus hat der Gesetzgeber, was die Niederlassungsfreiheit der Elternteile anbelangt, den gegenüber dem Gesetzesentwurf geäusserten Bedenken durch eine bewusste Modifikation von Art. 301a Abs. 2 ZGB Rechnung getragen und dafür gesorgt, dass die Schweiz nicht aufgrund einer "faktischen Residenzpflicht" (vgl. BGE 136 III 353 E. 3.3 S. 359) zu einem "Müttergefängnis" (vgl. Entscheid des Obergerichtes des Kantons Bern vom 26. Mai 2014, in: FamPra.ch 2015 S. 252) wird. Das bedeutet, dass die - ohnehin kaum justiziablen - Motive des wegziehenden Elternteils grundsätzlich nicht zur Debatte stehen können. Vielmehr ist von der Hypothese auszugehen, dass der eine Elternteil wegzieht (so auch COESTER-WALTJEN, a.a.O., S. 314), und es ist als Folge die Eltern-Kind-Beziehung soweit nötig anzupassen ( Art. 301a Abs. 5 ZGB ). Insofern entspricht die vom Gesetzgeber verabschiedete Gesetzesfassung dem, was der deutsche Bundesgerichtshof (BGH) für die internationale Relocation durch richterliche Rechtsfindung festgehalten hat: In Deutschland finden sich im Gesetz keine die Wegzugsfrage direkt regelnde Normen. Anwendbar ist § 1631 Abs. 1 BGB, wonach die Personensorge das Aufenthaltsbestimmungsrecht für das Kind umfasst, in Verbindung mit § 1671 Abs. 1 BGB, wonach der getrennt lebende Elternteil beantragen kann, dass ihm das Familiengericht die elterliche Sorge oder einen Teil davon allein überträgt. Im Sinne einer Leitentscheidung hat der BGH im Beschluss XII ZB 81/09 vom 28. April 2010 - betreffend einen Wegzug nach Mexiko - festgehalten, dass das Kindeswohl der Massstab sei (Rz. 17). Die verfassungsrechtlich in Art. 2 des Grundgesetzes garantierte allgemeine Handlungsfreiheit des auswanderungswilligen Elternteils bestimme die tatsächliche Ausgangslage, denn für die Beurteilung des Kindeswohls sei nicht davon auszugehen, dass der hauptsächlich betreuende Elternteil mit dem Kind im Inland verbleibe, selbst wenn dies mit dem Kindeswohl am besten zu vereinbaren wäre, sondern dass er seinen Auswanderungswunsch in die Tat umsetze (Rz. 22). Die Motive für den Auswanderungsentschluss stünden nicht zur Überprüfung durch das Gericht; insoweit komme es nicht darauf an, ob der Elternteil triftige Gründe anführen könne (Rz. 23). Die Befugnisse des Gerichtes hätten sich darauf zu konzentrieren, wie sich die Auswanderung auf das Kindeswohl auswirke; verfolge BGE 142 III 481 S. 491 der Elternteil mit der Übersiedlung den Zweck, den Kontakt zum anderen Elternteil zu vereiteln, stehe die Bindungstoleranz und somit die Erziehungseignung in Frage; bei schädlichen Auswirkungen der Auswanderung für das Kind sei die Erziehungseignung in Zweifel zu ziehen und könne sogar ein Entzug des Sorgerechts angebracht sein; bei einem ersichtlich unvernünftigen Vorhaben würden sich für die Kontinuität und die Qualität der Bindung zum Obhutselternteil nachteilige Folgen ergeben und sei das Sorgerecht bei bestehender Erziehungseignung gegebenenfalls dem anderen Elternteil zu übertragen (Rz. 24). Einer Auswanderung stehe nicht ohne weiteres entgegen, dass zum Wohl des Kindes in der Regel der Umgang mit beiden Elternteilen gehöre; auch wenn durch die Auswanderung der Umgang mit dem anderen Elternteil wesentlich erschwert werde, ergebe sich daraus allein weder eine generelle noch eine vermutete Kindeswohlschädlichkeit (Rz. 25). Die Entscheidung des Gerichtes sei nicht durch tatsächliche oder rechtliche Vermutungen eingeengt; zu fragen sei, ob die Auswanderung mit dem hauptbetreuenden Elternteil oder der Verbleib des Kindes beim weiter im Inland ansässigen Elternteil die für das Kindeswohl bessere Lösung sei (Rz. 28). Analog zu den vorstehenden Erwägungen hat der Bundesgerichtshof auch im Entscheid XII ZB 407/10 vom 16. März 2011 argumentiert.</w:t>
      </w:r>
    </w:p>
    <w:p>
      <w:r>
        <w:rPr>
          <w:b/>
        </w:rPr>
        <w:t>E. 2.6</w:t>
      </w:r>
    </w:p>
    <w:p>
      <w:r>
        <w:t>Ähnliche Überlegungen müssen, wie nachfolgend zu zeigen sein wird, für die Auslegung und Anwendung von Art. 301a ZGB gelten. Wie gesagt ist von der Prämisse auszugehen, dass der eine Elternteil in Ausübung seiner Freiheitsrechte wegziehen will. Es ist mithin nicht ein Vorzustand zu perpetuieren, sondern eine neue Situation zu regeln (vgl. FASSBIND, a.a.O., S. 697). Die hierbei aufkommende Frage, wo sich im Rahmen der neuen Begebenheiten der Aufenthaltsort des Kindes befinden soll, ist ausgerichtet am Kindeswohl zu beantworten (vgl. Art. 301a Abs. 5 ZGB ; Botschaft, BBl 2011 9108 zu Art. 301a). Dieser Grundsatz geniesst Verfassungsrang ( Art. 11 BV ) und bildet für sämtliche Kindesbelange die oberste Richtschnur ( BGE 129 III 250 E. 3.4.2 S. 255; BGE 141 III 312 E. 4.2.4 S. 319, BGE 141 III 328 E. 5.4 S. 340). Entsprechend liess sich die Rechtsprechung in Bezug auf die Relocation eines Kindes bereits unter dem alten Recht von der Maxime des Kindeswohls leiten (vgl. BGE 136 III 353 E. 3.3 S. 358 im Zusammenhang mit einem beabsichtigten Wegzug nach Tschechien). Sie bildet auch in den umliegenden Ländern die Richtschnur für die Ausgestaltung der Eltern-Kind-Beziehung und die Frage des Aufenthaltsortes, dessen Verlegung bei BGE 142 III 481 S. 492 Uneinigkeit der Eltern der richterlichen Entscheidung bedarf (Deutschland: vgl. in E. 2.5 zitierte Rechtsprechung; Frankreich: Art. 373-2 Abs. 3 CCfr, Entscheid der Cour de cassation Nr. 06-17869 vom 13. März 2007; Italien: Regelung in Art. 337 ter und 337 sexies CCit, insb. Art. 337 ter Abs. 2 CCit; Österreich: Regelung in § 162 ABGB, insb. § 162 Abs. 3 ABGB). 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(vgl. COESTER-WALTJEN, a.a.O., S. 314), wobei diese Frage unter Berücksichtigung der auf Art. 301a Abs. 5 ZGB gestützten Anpassung der Kinderbelange (Betreuung, persönlicher Verkehr, Unterhalt) an die bevorstehende Situation zu beantworten ist. Zwischen der Anpassung der Kinderbelange und der unter dem Aspekt des Kindeswohls zu beantwortenden Frage, ob die Verlegung des Aufenthaltsortes zu bewilligen ist, besteht nämlich eine enge Interdependenz (dazu E. 2.8).</w:t>
      </w:r>
    </w:p>
    <w:p>
      <w:r>
        <w:rPr>
          <w:b/>
        </w:rPr>
        <w:t>E. 2.7</w:t>
      </w:r>
    </w:p>
    <w:p>
      <w:r>
        <w:t>Zu untersuchen ist im Folgenden, anhand welcher Kriterien die Frage des Kindeswohls zu prüfen ist. Unter altem Recht hat das Bundesgericht diesbezüglich an die Rechtsprechung betreffend die Zuteilungskriterien im Trennungs- oder Scheidungsfall angeknüpft und - im Zusammenhang mit einem beabsichtigten Wegzug der Mutter auf die Philippinen und einem angekündigten Stellenantritt des Vaters in Singapur - erwogen, dass für die Neuregelung der Eltern-Kind-Verhältnisse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(Urteil 5A_375/2008 vom 11. August 2008 E. 2). Diese Kriterien können auf die Anwendung von Art. 301a ZGB übertragen werden. Weil es in der Regel um eine Anpassung der BGE 142 III 481 S. 493 bestehenden Regelung an die neue Situation geht (vgl. Art. 301a Abs. 5 ZGB ), wird das bisher gelebte Betreuungsmodell faktisch den Ausgangspunkt der Überlegungen bilden.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Kinder zu sorgen, so ist die Ausgangslage gewissermassen neutral. Diesfalls ist anhand weiterer Kriterien (wie familiäres und wirtschaftliches Umfeld, Stabilität der Verhältnisse, Sprache und Beschulung, gesundheitliche Bedürfnisse, Meinungsäusserung älterer Kind) zu eruieren, welche Lösung im besten Interesse des Kindes liegt. War hingegen der wegzugswillige Elternteil nach dem bisher tatsächlich gelebten Betreuungskonzept ganz oder überwiegend die Bezugsperson (namentlich beim klassischen Besuchsrechtsmodell), wird es tendenziell zum besseren Wohl der Kinder sein, wenn sie bei diesem verbleiben und folglich mit ihm wegziehen. Die für einen Verbleib der Kinder in der Schweiz notwendige Umteilung an den anderen Elternteil - welche ohnehin voraussetzt, dass dieser fähig und bereit ist, die Kinder bei sich aufzunehmen und für eine angemessene Betreuung zu sorgen - bedarf jedenfalls der sorgfältigen Prüfung, ob sie tatsächlich dem Kindeswohl entspricht. Dabei kommt es wiederum auf die Umstände des Einzelfalles an. Sind die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Kindeswohl unter Umständen besser dienen. Zu beachten sind auch alle weiteren Facetten der konkreten Situation. Beispielsweise ist es für ein Kind nicht dasselbe, ob es bereits bislang zweisprachig aufgewachsen ist oder ob es neu in einer ihm fremden Sprache beschult würde, und es ist mit Blick auf die Stabilität der Verhältnisse auch nicht dasselbe, ob beispielsweise der auswanderungswillige Elternteil in sein Heimatland bzw. in den angestammten Familienkreis (dem Kind bereits vertraute Grosseltern, Onkeln und Tanten etc.) zurückkehrt bzw. zu einem neuen Partner BGE 142 III 481 S. 494 in ein wirtschaftlich und sozial abgesichertes Umfeld zieht oder ob es beispielsweise um Gewinnung von Abstand bzw. um Abenteuerlust und eine Lebensführung mit weitgehend offener Perspektive geht. Schliesslich wird bei älteren Kindern massgeblich auch auf die bei ihrer Anhörung geäusserten Wünsche und Vorstellungen abzustellen sein, soweit sich diese mit den konkreten Begebenheiten (tatsächliche Aufnahme- und Betreuungsmöglichkeiten des betreffenden Elternteils) vereinbaren lassen. Zusammenfassend ergibt sich, dass für die Beurteilung des Kindeswohls immer die konkreten Umstände des Einzelfalles massgeblich sind, indes dem wegzugswilligen Elternteil, welcher die Kinder bislang überwiegend betreut hat und dies auch in Zukunft tun wird, die Verlegung des Aufenthaltsortes der Kinder ins Ausland in der Regel zu bewilligen sein wird, wovon übereinstimmend auch die Lehre ausgeht (vgl. BUCHER, Elterliche Sorge [...], in: Familien in Zeiten grenzüberschreitender Beziehungen, 2013, S. 63; CANTIENI/BIDERBOST, Reform der elterlichen Sorge aus Sicht der Kindes- und Erwachsenenschutzbehörde [KESB] - erste Erfahrungen und Klippen, FamPra.ch 2015 S. 792; BÜCHLER/MARANTA, Das neue Recht der elterlichen Sorge, Jusletter 11. August 2014 Rz. 84 f.; FASSBIND, a.a.O., S. 697; wohl gl.M. SCHWENZER/COTTIER, in: Basler Kommentar, Zivilgesetzbuch, Bd. I, 5. Aufl. 2014, N. 14 f. zu Art. 301a ZGB ). In der Praxis wird der zurückbleibende Elternteil oft den Einwand erheben, dass der andere Teil mit dem Auswanderungswunsch das Ziel verfolge, ihm die Kinder zu entziehen und insofern ein rechtsmissbräuchliches Verhalten vorliege, welches nicht geschützt werden dürfe. Solche Fälle können vorkommen, sie dürften aber selten sein (vgl. BUCHER, a.a.O., S. 63 unten). Es ist nachvollziehbar, dass dies dem zurückbleibenden Elternteil subjektiv anders vorkommen mag, denn die Aufrechterhaltung des Kontaktes zum Kind wird schwieriger und oftmals ist der geplante Wegzug die Folge der elterlichen Trennung, welche ihrerseits die Folge von Spannungen und Schwierigkeiten auf der Elternebene ist. Indes entspricht es keiner verbreiteten Realität, dass ein Elternteil ins Nichts wegzieht. Vielmehr ist im Zielland in der Regel eine ökonomische Basis oder Aussicht vorhanden und gibt es handfeste Gründe für den Wegzug wie beispielsweise die Rückkehr ins Heimatland oder den eigenen Familienkreis, das Zusammenziehen mit einem neuen Partner oder ein karriereförderndes Stellenangebot. BGE 142 III 481 S. 495 Sind aber tatsächlich keine plausiblen Gründe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(vgl. BGE 136 III 353 E. 3.3 S. 359; Urteil 5A_923/2014 vom 27. August 2015 E. 5.1, nicht publ. in: BGE 141 III 472 ; vgl. sodann BGE 142 III 1 E. 3.4 a.E. S. 7; siehe auch den vorstehend zitierten BGH-Entscheid XII ZB 81/09 vom 28. April 2010). Insofern können die Auswanderungsmotive beschränkt auf Einzelfälle indirekt doch eine Rolle spielen. Auch in solchen Konstellationen setzt freilich die Umteilung der Kinder an den anderen Elternteil voraus, dass dieser erziehungsfähig ist und er die Kinder tatsächlich bei sich aufnehmen und betreuen kann.</w:t>
      </w:r>
    </w:p>
    <w:p>
      <w:r>
        <w:rPr>
          <w:b/>
        </w:rPr>
        <w:t>E. 2.8</w:t>
      </w:r>
    </w:p>
    <w:p>
      <w:r>
        <w:t>Aus dem gesetzlichen Konzept ergibt sich, dass das Gericht bzw. die Kindesschutzbehörde - mit Wirkung ab dem tatsächlichen Wegzug des auswandernden Elternteils - soweit nötig die Betreuungs-, Besuchsrechts- und Unterhaltsregelung anzupassen hat (vgl. Art. 301a Abs. 5 ZGB ), und zwar gegebenenfalls auch für den Fall eines negativen Entscheides, d.h. wenn das Kind in der Schweiz verbleibt und der auswandernde Elternteil alleine wegzieht. Materiell bildet die Regelung im Sinn von Art. 301a Abs. 5 ZGB einen notwendigen Bestandteil des Entscheides über den Wegzug, weil nach dem Gesagten die konkrete Ausgestaltung der Betreuung und des persönlichen Verkehrs die Frage beeinflusst, welchen Aufenthaltsort das Kind in seinem besten Interesse haben soll. Im internationalen Verhältnis lassen sich diese Fragen auch aus prozessualen Gründen schlecht abspalten, weil mit dem Wegzug des Kindes in der Regel die schweizerische Entscheidzuständigkeit in Bezug auf die Ausgestaltung der Eltern-Kind-Beziehung verloren geht (vgl. Art. 5 Abs. 2 HKsÜ und ferner Art. 5 Ziff. 2 lit. a und c LugÜ ). In der Botschaft wurde die Zustimmungsbedürftigkeit für den Wegzug des Kindes ins Ausland gerade mit dem Wechsel der Jurisdiktion begründet (BBl 2011 9108 zu Art. 301a). Die legislatorischen Motive würden unterlaufen, wenn ausschliesslich über die Frage des Wegzuges des Kindes befunden und dem zurückbleibenden Elternteil zugemutet würde, notwendige Anpassungen in Bezug auf die Eltern-Kind-Beziehung im Ausland einzuklagen. Was die konkrete Regelung der Kinderbetreuung und Ausgestaltung des persönlichen Verkehrs anbelangt, ist vorauszuschicken, dass BGE 142 III 481 S. 496 oft kein Idealzustand zu erreichen sein wird, und zwar unabhängig davon, ob das Kind wegzieht oder ob es in der Schweiz verbleibt. Gerade bei grösseren Distanzen sind Modelle mit geteilter Betreuung unmöglich und wird auch die Frequenz und Intensität von Besuchen zwangsläufig nicht in gleichem Umfang aufrechterhalten werden können. Angesichts des zeitlichen und finanziellen Aufwandes für die Ausübung des persönlichen Verkehrs sowie unter Berücksichtigung der Bedürfnisse der Kinder wird die Neuregelung bei grösseren Distanzen meist darauf hinauslaufen, dass eine kleinere Kadenz von Wochenendbesuchen durch längere einzelne Wochenendeinheiten und/oder längere Ferienaufenthalte (teil-)kompensiert wird (vgl. BGE 136 III 353 E. 3.3 S. 359). Indes wären bei Kleinkindern - bei welchen sich der physische Kontakt auch nicht hinreichend mit anderen Kommunikationskanälen wie Skype substituieren lässt - eigentlich häufige und kurze Besuchsintervalle ohne Übernachtungen ideal (GLOOR/SIMONI, Wohnortswechsel mit Kinder nach Trennung und Scheidung, in: Siebte Schweizer Familienrecht §Tage, 2014, S. 251). In dieser Situation sind die Gerichte gehalten, eine der neuen Situation angepasste Betreuungs- und Kontaktregelung zu treffen, welche verbindlich und durchsetzbar ist und mit welcher der konventionsrechtlichen Vorgabe von Art. 9 Abs. 3 der UN-Kinderrechtskonvention vom 20. November 1989 (KRK, SR 0.107) nachgelebt wird. Diese sieht vor, dass ein jeder Vertragsstaat das Recht des von einem oder beiden Elternteilen getrennten Kindes achtet, regelmässige persönliche Beziehungen und unmittelbare Kontakte zu beiden Elternteilen zu pflegen. Es entspricht sodann kinderpsychologischer Erkenntnis, dass aufgrund des schicksalhaften Eltern-Kind-Verhältnisses die Beziehung des Kindes zu beiden Elternteilen wichtig ist und bei dessen Identitätsfindung eine entscheidende Rolle spielen kann ( BGE 130 III 585 E. 2.2.2 S. 590; BGE 131 III 209 E. 4 S. 211 f.). Deshalb haben im Übrigen beide Elternteile mit Blick auf das Wohl des Kindes die Pflicht, eine gute Beziehung zum jeweils anderen Elternteil zu fördern; namentlich hat der hauptbetreuende Elternteil das Kind positiv auf Besuche, auf Skype-Kontakte etc. beim oder mit dem anderen Elternteil vorzubereiten ( BGE 142 III 1 E. 3.4 S. 7; Urteil 5A_505/2013 vom 20. August 2013 E. 6.3). Weil der behördliche Entscheid über die Aufenthaltsverlegung und die Anpassung der Eltern-Kind-Beziehung eine Einheit bilden, ist auch klar, dass es nicht abstrakt um einen Wegzug aus der Schweiz, BGE 142 III 481 S. 497 sondern immer konkret um eine Übersiedelung in eine bestimmte Gegend und in ein bestimmtes Umfeld geht. Es ist für die Frage des Kindeswohls und die Neugestaltung des persönlichen Verkehrs nicht einerlei, ob ein Wegzug in einen benachbarten oder in einen entlegenen Staat geplant ist. Es ist aber auch nicht einerlei, ob ein Wegzug von Basel nach Lörrach oder nach Berlin zur Debatte steht. Im einen Fall könnte sogar das Modell einer geteilten Obhut aufrechterhalten oder eingerichtet werden, während im anderen Fall ganz andere Lösungen gefragt sind. Selbstredend können vom auswanderungswilligen Elternteil nicht Details wie genaue Wohn- und Schuladresse etc. verlangt werden, weil dieser für die Umsetzung seiner Pläne oft auf den bewilligenden Behördenentscheid angewiesen sein wird. Indes müssen die Konturen des Wegzuges feststehen, weil die Zustimmung des anderen Elternteils bzw. der behördliche Entscheid, mit welchem die Zustimmung des anderen Elternteils substituiert werden soll, auf konkreten Grundlagen fussen muss. In diesem Zusammenhang ist auch zu bedenken, dass der auswandernde Elternteil, welchem die Verlegung des Aufenthaltsortes der Kinder bewilligt wird, nur dann vor einem Rückführungsverfahren sicher sein kann, wenn sich der bewilligende Entscheid auf einen konkreten Umzug bezieht.</w:t>
      </w:r>
    </w:p>
    <w:p>
      <w:r>
        <w:rPr>
          <w:b/>
        </w:rPr>
        <w:t>E. 2.9</w:t>
      </w:r>
    </w:p>
    <w:p>
      <w:r>
        <w:t>Im vorliegenden Fall stellt der Beschwerdeführer fast ausschliesslich die Motive der Mutter für den von ihr beabsichtigten Wegzug in Frage. Nach dem Gesagten unterliegen diese aber nicht der gerichtlichen Überprüfung. Insofern geht auch das Eventualbegehren um Rückweisung an das Kantonsgericht zu näheren diesbezüglichen Abklärungen fehl. Was die Frage des Kindeswohles anbelangt, kann das sinngemässe Vorbringen, dass den Kindern in Graz Gefahren drohen, nicht ernsthaft sein. Die Lebensqualität in Graz ist vergleichbar mit derjenigen in U., die Kinder werden in der gleichen Sprache beschult und sie sind in einem Alter, in welchem sie sich am neuen Ort umgehend einleben werden. Sie können in Graz ebenso glücklich aufwachsen wie in der Schweiz. Dass der persönliche Verkehr weniger häufig wird stattfinden können und für alle Beteiligten mit erhöhtem Aufwand verbunden ist, trifft zu. Dies ist aber für sich genommen kein Grund, den Wegzug der Kinder zu verbieten. Unzutreffend ist sodann die Behauptung, mit dem Wegzug werde das Kontaktrecht verunmöglicht und komme es zu einer sofortigen Entfremdung der Kinder, erlaubt doch die BGE 142 III 481 S. 498 kantonale Besuchsrechtsregelung monatliche Kontakte und damit das Aufrechterhalten einer tragfähigen Beziehung. All diese Elemente sind vorliegend ohnehin wenig entscheidtragend insofern, als der Vater auch für die Zukunft ausdrücklich ausschliesst, die Kinder selbst zu betreuen, und er sich darauf beschränkt, ein umfangreicheres Besuchsrecht zu verlangen (dazu im Einzelnen nicht publ. E. 3). Damit ist die Sachverhaltsbehauptung, es sei völlig unbelegt, dass er die Erziehung und Alltagsbetreuung seit jeher der Mutter überlassen hätte, mit Blick auf den zutreffenden Entscheid ebenso unerheblich wie die Beanstandung in Bezug auf die Beweiswürdigung zum Vater-Kinder-Verhältnis. In rechtlicher Hinsicht ist der Entscheid, wo sich der gewöhnliche Aufenthalt der Kinder befinden soll, imperativ präjudiziert, wenn nur ein Elternteil bereit ist, die Betreuung der Kinder zu übernehmen, denn eine nähere Diskussion des Kindeswohls läuft bei dieser Ausgangslage letztlich ins Leere (vgl. E. 2.7). Angesichts der Tatsache, dass nur die Mutter bereit ist, die Kinder überwiegend zu betreuen, und im Übrigen die kantonalen Gerichte eine situationsadäquate Lösung in Bezug auf die Neugestaltung des persönlichen Verkehrs für die Zeit ab dem Wegzug nach Graz gefunden haben (dazu nicht publ. E. 3), ist die Erlaubnis, den Aufenthaltsort der Kinder dorthin zu verlegen, bundesrechtskonform.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