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355</w:t>
      </w:r>
    </w:p>
    <w:p>
      <w:r>
        <w:t>Bundesgericht (BGE), 2016-04-13, FR</w:t>
      </w:r>
    </w:p>
    <w:p>
      <w:r>
        <w:rPr>
          <w:b/>
        </w:rPr>
        <w:t xml:space="preserve">Quelle: </w:t>
      </w:r>
      <w:r>
        <w:t>https://mcp.opencaselaw.ch/entscheid/bge_BGE_142_III_355</w:t>
      </w:r>
    </w:p>
    <w:p>
      <w:r>
        <w:t>FR: ATF 142 III 355</w:t>
      </w:r>
    </w:p>
    <w:p>
      <w:r>
        <w:t>IT: DTF 142 III 355</w:t>
      </w:r>
    </w:p>
    <w:p>
      <w:pPr>
        <w:pStyle w:val="Heading2"/>
      </w:pPr>
      <w:r>
        <w:t>Regeste</w:t>
      </w:r>
    </w:p>
    <w:p>
      <w:r>
        <w:t>Regeste Art. 27 Abs. 2 lit. a IPRG; Anerkennung eines ausländischen Urteils. Die Mangelhaftigkeit der Zustellung des verfahrenseinleitenden Schriftstücks im Sinne der obengenannten Norm kann vom Beklagten geltend gemacht werden, der am Verfahren vor dem ausländischen Richter teilgenommen hat, um dessen Kompetenz zu bestreiten, und hinsichtlich der Ordnungsmässigkeit der Zustellung des genannten Schriftstücks einen Vorbehalt angebracht hat (E. 3.3.2). Die Zustellung des ersten verfahrenseinleitenden Schriftstücks ist nur gehörig im Sinne von Art. 27 Abs. 2 lit. a IPRG, wenn sie in Übereinstimmung mit den anwendbaren Bestimmungen im Wohnsitzstaat des Beklagten (subsidiär an seinem gewöhnlichen Aufenthalt) vorgenommen wurde (E. 3.3.3).</w:t>
      </w:r>
    </w:p>
    <w:p>
      <w:r>
        <w:t>Regeste Art. 27 al. 2 let. a LDIP; reconnaissance d'un jugement étranger. L'irrégularité de la notification de l'acte introductif d'instance au sens de la norme susrappelée peut être invoquée par le défendeur qui a comparu devant le juge étranger, pour en contester la compétence, et qui a fait une réserve au sujet de la régularité de la notification dudit acte (consid. 3.3.2). La notification du premier acte introductif d'instance n'est régulière au sens de l'art. 27 al. 2 let. a LDIP que si elle a été effectuée conformément aux règles applicables dans l'Etat du domicile du défendeur (subsidiairement de sa résidence habituelle) (consid. 3.3.3).</w:t>
      </w:r>
    </w:p>
    <w:p>
      <w:r>
        <w:t>Regesto Art. 27 cpv. 2 lett. a LDIP; riconoscimento di una decisione straniera. L'irregolarità della notifica dell'atto introduttivo di causa nel senso della succitata norma può essere invocata dal convenuto che è comparso innanzi al giudice straniero, per contestarne la competenza, e che ha formulato una riserva con riferimento alla regolarità della notifica del suddetto atto (consid. 3.3.2). La notifica del primo atto introduttivo di causa è unicamente regolare nel senso dell'art. 27 cpv. 2 lett. a LDIP se è stata effettuata conformemente alle regole applicabili nello Stato di domicilio del convenuto (sussidiariamente della sua residenza abituale) (consid. 3.3.3).</w:t>
      </w:r>
    </w:p>
    <w:p>
      <w:pPr>
        <w:pStyle w:val="Heading2"/>
      </w:pPr>
      <w:r>
        <w:t>Erwägungen</w:t>
      </w:r>
    </w:p>
    <w:p>
      <w:r>
        <w:rPr>
          <w:b/>
        </w:rPr>
        <w:t>E. 3</w:t>
      </w:r>
    </w:p>
    <w:p>
      <w:r>
        <w:t>(...) 3.3.2 L'irrégularité de la notification de l'acte introductif d'instance au sens de l' art. 27 al. 2 let. a LDIP (RS 291) peut être invoquée aussi bien par le défendeur défaillant (cf. art. 29 al. 1 let . c LDIP) que par le défendeur qui a comparu devant le juge étranger, pour en contester la compétence, et qui a fait une réserve au sujet de la régularité de la notification de l'acte introductif d'instance. L' art. 27 al. 2 let. a LDIP ne prive en effet du droit de contester la régularité de la notification que le défendeur qui a "procédé au fond sans faire de réserve" (BUCHER/BONOMI, Droit international privé, 3 e éd. 2013, n. 285 p. 76). Une acceptation tacite de compétence ne peut être opposée au défendeur que s'il ne s'est pas réservé le droit de soulever l'irrégularité de l'acte introductif d'instance, au stade ultérieur de l'exécution (VOLKEN, in Zürcher Kommentar zum IPRG, 2 e éd. 2004, n° 91 ad art. 27 LDIP ; MARKUS, Internationales Zivilprozessrecht, 2014, n. 1401 p. 371; DÄPPEN/MABILLARD, in Basler Kommentar, Internationales Privatrecht, 3 e éd. 2013, n° 15 ad art. 27 LDIP ; SCHRAMM/BUHR, in Internationales Privatrecht, 2 e éd. 2012, n° 28 ad art. 27 LDIP ). 3.3.3 La notification du premier acte introductif d'instance n'est régulière au sens de l' art. 27 al. 2 let. a LDIP que si elle a été effectuée conformément aux règles applicables dans l'Etat du domicile du défendeur (subsidiairement de sa résidence habituelle), et non à celles applicables dans l'Etat d'origine dans lequel la décision à reconnaître a été rendue. Une notification opérée en violation des règles de l'Etat du domicile porte atteinte à la souveraineté de cet Etat et, par conséquent, est nulle (à propos de l'irrégularité de la notification postale, sauf convention ou traité, à un défendeur en Suisse ou à un BGE 142 III 355 S. 359 défendeur à l'étranger à partir de la Suisse, cf. ATF 135 III 623 consid. 2.2 p. 626 et les références doctrinales; ATF 131 III 448 consid. 2.2; arrêts 4A_141/2015 du 25 juin 2015 consid. 5.1.2; 4A_161/2008 du 1 er juillet 2008 consid. 4.1). Le respect de ces règles a en outre pour but de s'assurer que le défendeur soit rendu attentif à l'importance de l'acte et de lui fournir, dans sa langue, une première information sur son contenu ( ATF 135 III 623 , loc. cit.). Lorsque la Convention de la Haye du 15 novembre 1965 relative à la signification et la notification à l'étranger des actes judiciaires et extrajudiciaires en matière civile ou commerciale (RS 0.274.131; ci-après: CLaH 65) est applicable entre l'Etat d'origine (du jugement étranger) et l'Etat requis (où la reconnaissance et l'exécution sont demandées, i.e. la Suisse) et que le défendeur est domicilié en Suisse ou dans un autre Etat étranger partie à cette convention, la régularité de la notification de l'acte introductif d'instance s'examine au regard des dispositions de la CLaH 65 (BUCHER, in Commentaire romand, Loi sur le droit international privé, Convention de Lugano, 2011, n° 23 ad art. 27 LDIP ; BUCHER/BONOMI, op. cit., n. 282 p. 75; MARKUS, op. cit., n. 1392 p. 369); lorsque le défendeur est domicilié dans un Etat qui n'est pas partie à la CLaH 65, seules les règles du droit de l'Etat de son domicile sont applicables (BUCHER/BONOMI, op. cit., n. 282 p. 75). Au regard de l' art. 27 al. 2 let. a LDIP , il ne suffit pas que le destinataire ait eu de quelque manière connaissance de l'acte introductif d'instance. La notion de notification de l'acte introductif d'instance au sens de cette disposition est différente de celle de l'art. 34 par. 2 de la Convention de Lugano révisée du 30 octobre 2007 (CL; RS 0.275.12), norme entrée en vigueur le 1 er janvier 2011. Dans les rapports avec les Etats de l'Union européenne et les autres Etats parties à la nouvelle Convention de Lugano, il suffit en effet que le destinataire ait été mis en mesure d'exercer ses droits par une communication offrant des garanties au moins comparables à celles d'une notification régulière, selon le droit de procédure déterminant ( ATF 142 III 180 consid. 3.3.1 in fine p. 185 s.; arrêts 4A_141/2015 précité, consid. 5.1.2; 5A_230/2012 du 23 octobre 2012 consid. 4.1). On ne saurait s'écarter du texte clair de l' art. 27 al. 2 let. a LDIP , qui est applicable en dehors du champ d'application de cette convention, et, sans base légale ou conventionnelle, abandonner le principe de la souveraineté gouvernant les actes officiels effectués à l'étranger ( ATF 142 III 180 consid. 3.3.1 ibidem).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