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234</w:t>
      </w:r>
    </w:p>
    <w:p>
      <w:r>
        <w:t>Bundesgericht (BGE), 2016-01-14, FR</w:t>
      </w:r>
    </w:p>
    <w:p>
      <w:r>
        <w:rPr>
          <w:b/>
        </w:rPr>
        <w:t xml:space="preserve">Quelle: </w:t>
      </w:r>
      <w:r>
        <w:t>https://mcp.opencaselaw.ch/entscheid/bge_BGE_142_III_234</w:t>
      </w:r>
    </w:p>
    <w:p>
      <w:r>
        <w:t>FR: ATF 142 III 234</w:t>
      </w:r>
    </w:p>
    <w:p>
      <w:r>
        <w:t>IT: DTF 142 III 234</w:t>
      </w:r>
    </w:p>
    <w:p>
      <w:pPr>
        <w:pStyle w:val="Heading2"/>
      </w:pPr>
      <w:r>
        <w:t>Regeste</w:t>
      </w:r>
    </w:p>
    <w:p>
      <w:r>
        <w:t>Regeste Art. 17 Abs. 2 und Art. 20a Abs. 2 Ziff. 3 SchKG; Beschwerdeverfahren, Zulässigkeit neuer Begehren vor der Aufsichtsbehörde. Von Bundesrechts wegen sind neue Anträge, die vor der Aufsichtsbehörde nach Ablauf der Beschwerdefrist gestellt werden, grundsätzlich unzulässig (E. 2.2).</w:t>
      </w:r>
    </w:p>
    <w:p>
      <w:r>
        <w:t>Regeste Art. 17 al. 2 et art. 20a al. 2 ch. 3 LP; procédure de plainte, recevabilité des conclusions nouvelles devant l'autorité de surveillance. En vertu du droit fédéral, les conclusions nouvelles prises devant l'autorité de surveillance après l'expiration du délai pour porter plainte sont par principe inadmissibles (consid. 2.2).</w:t>
      </w:r>
    </w:p>
    <w:p>
      <w:r>
        <w:t>Regesto Art. 17 cpv. 2 e art. 20a cpv. 2 n. 3 LEF; procedura di ricorso, ammissibilità di conclusioni nuove davanti all'autorità di vigilanza. In virtù del diritto federale, le conclusioni nuove formulate davanti all'autorità di vigilanza dopo la scadenza del termine di ricorso sono in linea di principio inammissibili (consid. 2.2).</w:t>
      </w:r>
    </w:p>
    <w:p>
      <w:pPr>
        <w:pStyle w:val="Heading2"/>
      </w:pPr>
      <w:r>
        <w:t>Erwägungen</w:t>
      </w:r>
    </w:p>
    <w:p>
      <w:r>
        <w:rPr>
          <w:b/>
        </w:rPr>
        <w:t>E. 2</w:t>
      </w:r>
    </w:p>
    <w:p>
      <w:r>
        <w:t>La recourante se plaint au premier chef d'une application arbitraire du droit cantonal et d'une violation de l' art. 17 LP ; en bref, elle fait valoir que les intimés ne se sont jamais opposés à la gérance légale dans le délai de plainte, en sorte que cette mesure ne peut plus être discutée par le biais de conclusions nouvelles.</w:t>
      </w:r>
    </w:p>
    <w:p>
      <w:r>
        <w:rPr>
          <w:b/>
        </w:rPr>
        <w:t>E. 2.1</w:t>
      </w:r>
    </w:p>
    <w:p>
      <w:r>
        <w:t>En l'espèce, la juridiction précédente a expressément constaté que les plaignants n'avaient pas remis en question le principe de la gérance légale des immeubles, mais qu'ils étaient néanmoins admis à modifier leurs conclusions initiales, dès lors qu'un délai leur avait été fixé pour se prononcer sur le maintien de ladite mesure, "compte tenu des faits nouveaux ressortant du courrier du 23 mai 2014 de E. SA et de la nouvelle position de l'Office".</w:t>
      </w:r>
    </w:p>
    <w:p>
      <w:r>
        <w:rPr>
          <w:b/>
        </w:rPr>
        <w:t>E. 2.2</w:t>
      </w:r>
    </w:p>
    <w:p>
      <w:r>
        <w:t>L'avis de l'autorité précédente ne peut être suivi. Comme le relève pertinemment la recourante, les faits qui ressortent du courrier de E. SA ne sauraient être qualifiés de "nouveaux" pour les intimés, qui connaissaient évidemment la nature des immeubles concernés; il est à cet égard révélateur que, dans leurs déterminations du 4 juin 2014, les intéressés affirment que les "explications/constatations" de E. SA "confirment et valident les explications contenues dans la plainte", en d'autres termes n'apportent pas d'éléments supplémentaires. Certes, le droit de répliquer - valable aussi dans la procédure de plainte LP (arrêt 5A_779/2010 du 1 er avril 2010 consid. 2.2) - imposait aux magistrats précédents de communiquer le courrier précité et les observations de l'Office aux intimés (cf. parmi d'autres: ATF 139 I 189 consid. 3.2; ATF 138 I 484 consid. 2.2), mais cette prérogative ne conférait pas pour autant à ceux-ci la faculté de prendre des conclusions qu'ils pouvaient formuler déjà dans leurs plaintes ( ATF 132 I 42 consid. 3.3.4 et les arrêts cités; JEANNERAT/MAHON, Le droit de répliquer en droit public et en procédure administrative en général, in: Le droit de réplique, 2013, p. 69 n° 62 et les citations). BGE 142 III 234 S. 238 L'autorité précédente semble partir du principe que la modification des conclusions de la plainte relève, conformément à l' art. 20a al. 3 LP , de la législation cantonale (cf. pour les conclusions nouvelles en instance de recours: arrêt 5A_792/2013 du 10 février 2014 consid. 2.2 avec les références). Cette prémisse est fausse en l'occurrence: même fondée sur le droit de procédure cantonal, une augmentation des conclusions après l'expiration du délai pour porter plainte n'est pas admissible, sous peine d'éluder la nature péremptoire du délai prévu à l' art. 17 al. 2 LP (LORANDI, Betreibungsrechtliche Beschwerde und Nichtigkeit, 2000, n° 69 art. 20a LP et les citations; cf. sur l'interdiction des moyens nouveaux après l'échéance du délai de plainte: ATF 126 III 30 consid. 1b; ATF 114 III 5 consid. 3; arrêt 5A_237/2012 du 10 septembre 2012 consid. 2.2 et la doctrine citée). Partant, les conclusions tendant à faire "constater que la gérance légale n'est pas possible pour des immeubles exploités en résidence hôtelière" et à "annuler la décision du 7 avril 2014 de l'Office des poursuites visant à instaurer une gérance légale", que les intimés ont formulées dans leurs déterminations du 10 mars 2015, eussent dû être écartées. En outre, selon la jurisprudence, le juge est lié par les conclusions qui lui sont soumises lorsque la partie a qualifié ou limité ses prétentions dans les conclusions elles-mêmes (arrêts 4A_709/2014 du 21 mai 2015 consid. 4.1; 4A_307/2011 du 16 décembre 2011 consid. 2.4, commenté par DROESE, in RSPC 8/2012 p. 296 ss). Ce principe s'applique aussi aux autorités de surveillance qui, sous réserve d'un cas de nullité non réalisé ici ( art. 22 al. 1 LP ), ne sauraient aller au-delà des conclusions des parties ( art. 20a al. 2 ch. 3 LP ; cf. LORANDI, ibid., n os 48 et 49 LP avec les citations; v. déjà: ATF 54 III 192 consid. 2). Or, il ressort de la décision entreprise ( art. 105 al. 1 LTF ; ATF 140 III 16 consid. 1.3.1) que, dans leurs plaintes, les intimés avaient conclu "à ce que la gérance légale soit confiée dès le 1 er août 2014 à E. SA" et que, dans l'intervalle, l'intimée n° 1 "devra organiser le transfert [à celle-ci] des informations en sa possession et, dès le 1 er mai 2014, verser les loyers à l'Office, après déduction de ses honoraires [...] et de charges locatives [...]". Il s'ensuit que, en prononçant que les poursuites en cause "ne peuvent donner lieu à une gérance légale", l'autorité précédente a statué ultra petita et, partant, violé le droit fédéral ( art. 95 let. a LTF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