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204</w:t>
      </w:r>
    </w:p>
    <w:p>
      <w:r>
        <w:t>Bundesgericht (BGE), 2016-03-03, DE</w:t>
      </w:r>
    </w:p>
    <w:p>
      <w:r>
        <w:rPr>
          <w:b/>
        </w:rPr>
        <w:t xml:space="preserve">Quelle: </w:t>
      </w:r>
      <w:r>
        <w:t>https://mcp.opencaselaw.ch/entscheid/bge_BGE_142_III_204</w:t>
      </w:r>
    </w:p>
    <w:p>
      <w:r>
        <w:t>FR: ATF 142 III 204</w:t>
      </w:r>
    </w:p>
    <w:p>
      <w:r>
        <w:t>IT: DTF 142 III 204</w:t>
      </w:r>
    </w:p>
    <w:p>
      <w:pPr>
        <w:pStyle w:val="Heading2"/>
      </w:pPr>
      <w:r>
        <w:t>Regeste</w:t>
      </w:r>
    </w:p>
    <w:p>
      <w:r>
        <w:t>Regeste Art. 718a Abs. 2 OR; Art. 119 Abs. 1 lit. g HRegV; Eintrag von Kombinationen von Kollektivunterschriften im Handelsregister. Kollektivunterschriften, bei denen die zur gemeinsamen Unterzeichnung befugten Personen namentlich bezeichnet werden, können in das Handelsregister eingetragen werden (E. 2; Bestätigung der Rechtsprechung).</w:t>
      </w:r>
    </w:p>
    <w:p>
      <w:r>
        <w:t>Regeste Art. 718a al. 2 CO; art. 119 al. 1 let. g ORC; inscription de combinaisons de signatures collectives au registre du commerce. Les signatures collectives selon lesquelles les personnes autorisées à signer ensemble sont désignées nommément peuvent être inscrites au registre du commerce (consid. 2; confirmation de la jurisprudence).</w:t>
      </w:r>
    </w:p>
    <w:p>
      <w:r>
        <w:t>Regesto Art. 718a cpv. 2 CO; art. 119 cpv. 1 lett. g ORC; iscrizione di una combinazione di firme collettive nel registro di commercio. Possono essere iscritte a registro di commercio firme collettive in cui le parti autorizzate a firmare congiuntamente sono designate nominatamente (consid. 2; conferma della giurisprudenza).</w:t>
      </w:r>
    </w:p>
    <w:p>
      <w:pPr>
        <w:pStyle w:val="Heading2"/>
      </w:pPr>
      <w:r>
        <w:t>Erwägungen</w:t>
      </w:r>
    </w:p>
    <w:p>
      <w:r>
        <w:rPr>
          <w:b/>
        </w:rPr>
        <w:t>E. 2</w:t>
      </w:r>
    </w:p>
    <w:p>
      <w:r>
        <w:t>Die Beschwerdeführerin rügt, die Vorinstanz habe gegen diverse bundesrechtliche Normen, namentlich Art. 718a Abs. 2 OR sowie Art. 26 der Handelsregisterverordnung vom 17. Oktober 2007 (HRegV; SR 221.411) verstossen, indem sie das Gesuch um Eintragung von Kollektivunterschriften, bei denen die zur gemeinsamen Unterzeichnung befugten Personen namentlich genannt werden, abgewiesen habe. Damit habe die Vorinstanz insbesondere die mit dem Leitentscheid BGE 121 III 368 vom 19. September 1995 begründete Rechtsprechung missachtet. BGE 142 III 204 S. 206</w:t>
      </w:r>
    </w:p>
    <w:p>
      <w:r>
        <w:rPr>
          <w:b/>
        </w:rPr>
        <w:t>E. 2.1</w:t>
      </w:r>
    </w:p>
    <w:p>
      <w:r>
        <w:t>Gemäss Art. 718 Abs. 1 OR (in Kraft seit 1. Juli 1992; AS 1992 733) vertritt der Verwaltungsrat die Aktiengesellschaft nach aussen. Bestimmen die Statuten oder das Organisationsreglement nichts anderes, so steht die Vertretungsbefugnis jedem Mitglied einzeln zu. Nach Art. 718a Abs. 2 Satz 1 OR (ebenfalls seit 1. Juli 1992 in Kraft) hat eine Beschränkung der Vertretungsbefugnis gegenüber gutgläubigen Dritten keine Wirkung. Im erwähnten Leitentscheid BGE 121 III 368 vom 19. September 1995 musste sich das Bundesgericht zur Frage äussern, ob die Präzisierung, dass zwei kollektivzeichnungsberechtigte Verwaltungsratsmitglieder nicht miteinander , sondern nur mit je anderen Verwaltungsratsmitgliedern rechtsgültig unterzeichnen dürfen, ins Handelsregister eingetragen werden kann. Das Bundesgericht verwies dabei zunächst auf Art. 718a Abs. 2 OR und leitete daraus als Grundsatz ab, dass eine Beschränkung der Vertretungsbefugnis in der Form einer Kollektivunterschrift in das Handelsregister eingetragen werden kann (E. 4 S. 373). Es untersuchte sodann, inwiefern nicht nur eine allgemeine Kollektivunterschrift (im Sinne einer nicht näher bestimmten "Kollektivunterschrift zu zweien" oder allenfalls "zu dreien"), sondern auch präzisierte Kollektivunterschriften mit genau bezeichneten Kombinationen, welche Personen gemeinsam unterzeichnen dürfen, eingetragen werden können. Dabei erwähnte es drei Lehrmeinungen, wonach alle möglichen Spielarten von Kollektivunterschriften in das Handelsregister eingetragen werden können, so beispielsweise die Bestimmung von zwei Vertretergruppen, von denen je ein Mitglied zu unterzeichnen hat, oder auch die genaue Bezeichnung möglicher Kombinationen (E. 4a S . 373 f. unter Hinweis auf WOLFGANG BÜRGI, in: Zürcher Kommentar, 1969, N. 13 zu Art. 718 OR ; EMIL SCHUCANY, Kommentar zum schweizerischen Aktienrecht, 2. Aufl. 1960, N. 3 zu Art. 718 OR ; ROLF WATTER, Die Verpflichtung der AG durch rechtsgeschäftliches Handeln ihrer Stellvertreter, Prokuristen und Organe speziell bei sog. "Missbrauch der Vertretungsmacht", 1985, S. 149). Diesen Lehrmeinungen schloss sich das Bundesgericht an und führte als Argument zusätzlich den aArt. 641 Ziff. 8 OR ins Feld, wonach "die Art der Ausübung der Vertretung" in das Handelsregister einzutragen sei. Daraus leitete es ab, dass nach dem klaren Wortlaut des Gesetzestexts die von der Aktiengesellschaft privatautonom ausgestaltbare Kollektivunterschrift ihrer Verwaltungsratsmitglieder nicht nur ins Handelsregister eingetragen werden kann, sondern muss (E. 4b BGE 142 III 204 S. 207 S. 375). Dies gelte freilich auch unabhängig vom Wortlaut des aArt. 641 Ziff. 8 OR: Denn wenn präzisierte Kombinationen von Kollektivunterschriften nicht in das Handelsregister eingetragen werden könnten, würde die tatsächlich geltende Vertretungsbefugnis gegenüber der Öffentlichkeit verheimlicht. Das Handelsregister enthielte einen täuschenden Eintrag, was unakzeptabel sei. Es treffe zwar zu, dass die Eintragung von präzisierten Kombinationen von Kollektivunterschriften dem Handelsregisteramt einen zusätzlichen Aufwand bereiten würde. Dieser Umstand dürfe indessen bei der Auslegung des Gesetzes keine Rolle spielen, weshalb die Eintragung zuzulassen sei (E. 4b S. 375 f.).</w:t>
      </w:r>
    </w:p>
    <w:p>
      <w:r>
        <w:rPr>
          <w:b/>
        </w:rPr>
        <w:t>E. 2.2</w:t>
      </w:r>
    </w:p>
    <w:p>
      <w:r>
        <w:t>Die Vorinstanz kam im angefochtenen Entscheid zum Schluss, dass die referierte Rechtsprechung von BGE 121 III 368 "heute keine Gültigkeit mehr beanspruchen" könne. Denn dieser Entscheid beruhe massgeblich auf aArt. 641 Ziff. 8 OR, wonach die "Art der Ausübung der Vertretung" in das Handelsregister einzutragen sei. Diese Norm sei aber am 1. Januar 2008 im Zuge der Revision des GmbH-Rechts und des Erlasses der neuen Handelsregisterverordnung aufgehoben worden. Müsste das Bundesgericht den damaligen Fall heute neu entscheiden, könnte es sich nach Auffassung der Vorinstanz nicht mehr auf den klaren Wortlaut des aArt. 641 Ziff. 8 OR stützen. In der Botschaft vom 19. Dezember 2001 zur Revision des Obligationenrechts (GmbH-Recht sowie Anpassungen im Aktien-, Genossenschafts-, Handelsregister- und Firmenrecht, BBl 2002 3148, 3237 zu Art. 929 Abs. 1) lege der Bundesrat dar, weshalb es opportun sei, die bisher gesetzlich geregelten Gegenstände der Anmeldung beim Handelsregisteramt, der einzureichenden Belege und des Inhalts des Registereintrags an den Bundesrat zu delegieren. Daraus lasse sich nicht der Schluss ziehen, dass keine materielle Anpassung beabsichtigt gewesen sei. Der Bundesrat habe vielmehr freie Hand erhalten, die Anforderungen an den Registerinhalt in der Verordnung neu zu regeln. Für die Ziffer 8 des aufgehobenen aArt. 641 OR existiere in der heute geltenden Handelsregisterverordnung keine Nachfolgebestimmung mehr. Damit habe der Bundesrat auf eine materielle Übernahme des Regelungsgehalts von aArt. 641 Ziff. 8 OR "offensichtlich bewusst verzichtet". Die Vorinstanz bestätigte daher die Erwägungen des Beschwerdegegners, mit denen dieser die Verweigerung begründet hatte, die präzisierten Kollektivunterschriften in das Handelsregister einzutragen. BGE 142 III 204 S. 208</w:t>
      </w:r>
    </w:p>
    <w:p>
      <w:r>
        <w:rPr>
          <w:b/>
        </w:rPr>
        <w:t>E. 2.3</w:t>
      </w:r>
    </w:p>
    <w:p>
      <w:r>
        <w:t>Der angefochtene Entscheid hält vor Bundesrecht nicht stand:</w:t>
      </w:r>
    </w:p>
    <w:p>
      <w:r>
        <w:rPr>
          <w:b/>
        </w:rPr>
        <w:t>E. 2.3.1</w:t>
      </w:r>
    </w:p>
    <w:p>
      <w:r>
        <w:t>Die Vorinstanz verkennt, dass sich das Bundesgericht bei seinen Überlegungen im Leitentscheid BGE 121 III 368 nicht ausschliesslich vom Wortlaut des aArt. 641 Ziff. 8 OR leiten liess, sondern diesen nur als ergänzendes Argument für die Entscheidung heranzog, dass auch präzisierte Kombinationen von Kollektivunterschriften in das Handelsregister einzutragen sind. Für das Bundesgericht war vorab massgebend, dass gemäss Art. 718a Abs. 2 OR Kollektivunterschriften in das Handelsregister eingetragen werden können, sich die herrschende Lehre für eine Eintragung präzisierter Kombinationen von Kollektivunterschriften ausspricht und dies auch deshalb geboten ist, weil sonst die tatsächlich geltende Vertretungsbefugnis gegenüber der Öffentlichkeit verheimlicht würde, was einen täuschenden Handelsregistereintrag zur Folge hätte. Diese Überlegungen gelten unabhängig vom Wortlaut des aArt. 641 Ziff. 8 OR und behalten auch heute noch ihre Gültigkeit.</w:t>
      </w:r>
    </w:p>
    <w:p>
      <w:r>
        <w:rPr>
          <w:b/>
        </w:rPr>
        <w:t>E. 2.3.2</w:t>
      </w:r>
    </w:p>
    <w:p>
      <w:r>
        <w:t>Abgesehen davon kann der Vorinstanz aber auch nicht gefolgt werden, wenn sie aus der Botschaft zur Revision des GmbH-Rechts den Schluss ziehen will, dass der Bundesrat auf eine materielle Übernahme des Regelungsgehalts von aArt. 641 Ziff. 8 OR "offensichtlich bewusst verzichtet" habe: Im Rahmen der Teilrevision des Obligationenrechts, die am 1. Januar 2008 in Kraft getreten ist (Bundesgesetz vom 16. Dezember 2005 [GmbH-Recht sowie Anpassungen im Aktien-, Genossenschafts-, Handelsregister- und Firmenrecht], AS 2007 4791) wurdenauch die Bestimmungen über das Handelsregister teilweise geändert bzw. aufgehoben, darunter auch der erwähnte aArt. 641 Ziff. 8 OR. Dadurch entstand ein erheblicher Anpassungs- und Änderungsbedarf der Bestimmungen auf Verordnungsstufe (Begleitbericht zur Totalrevision der Handelsregisterverordnung, Vernehmlassungsentwurf vom 28. März 2008, www.admin.ch/ch/d/gg/pc/documents/1399/Bericht.pdf , S. 1), was den Bundesrat dazu veranlasste, die alte Handelsregisterverordnung vom 7. Juni 1937 (aHRegV) total zu revidieren und durch die neue Handelsregisterverordnung vom 17. Oktober 2007 zu ersetzen. Diese trat gemeinsam mit den revidierten Normen des OR am 1. Januar 2008 in Kraft. Ausweislich des erwähnten Begleitberichts (S. 1) musste dabei der "Norminhalt" der aufgehobenen "Bestimmungen des Obligationenrechts", also auch des aArt. 641 Ziff. 8 OR, "entsprechend dem Auftrag des Gesetzgebers neu in die Verordnung aufgenommen werden". In der Tat sieht die BGE 142 III 204 S. 209 Handelsregisterverordnung vor, dass bei der Aktiengesellschaft nicht nur "die Mitglieder des Verwaltungsrats" ( Art. 45 Abs. 1 lit. n HRegV ), sondern auch die " Art der Zeichnungsberechtigung " ( Art. 119 Abs. 1 lit. g HRegV ) dieser Personen einzutragen sind. Die Art der Zeichnungsberechtigung ist nun aber nichts anderes als die "Art der Ausübung der Vertretung", wie sie aArt. 641 Ziff. 8 OR vorsah. Von einem offensichtlichen Verzicht auf die Übernahme des Regelungsgehalts von aArt. 641 Ziff. 8 OR kann keine Rede sein. Weshalb die vorliegend zur Eintragung angemeldeten, präzisierten Kollektivunterschriften mit genauer Bezeichnung der zur gemeinsamen Unterzeichnung befugten Personen nicht in das Handelsregister eintragungsfähig sein sollen, ist mithin im Lichte sowohl von BGE 121 III 368 als auch der neuen Handelsregisterverordnung nicht einzusehen.</w:t>
      </w:r>
    </w:p>
    <w:p>
      <w:r>
        <w:rPr>
          <w:b/>
        </w:rPr>
        <w:t>E. 2.3.3</w:t>
      </w:r>
    </w:p>
    <w:p>
      <w:r>
        <w:t>Auch in der heutigen Lehre zur neuen Handelsregisterverordnung sowie zu Art. 718a OR wird ausnahmslos vertreten, dass bei Kollektivunterschriften die zur gemeinsamen Unterzeichnung befugten Personen namentlich bezeichnet werden können (CHRISTIAN CHAMPEAUX, in: Handelsregisterverordnung [HRegV], Siffert/Turin [Hrsg.], 2013, N. 20 zu Art. 119 HRegV ;ZIHLER/KRÄHENBÜHL, Zeichnungsberechtigungen und Funktionen in der handelsregisterrechtlichen Praxis - Status quo und Vorschlag zur Entschlackung, REPRAX 3/2010 S. 59 ff.; ROLF WATTER, in: Basler Kommentar, Obligationenrecht, Bd. II, 4. Aufl. 2012, N. 20 zu Art. 718a OR ; PETER/CAVADINI, in: Commentaire romand, Code des obligations, Bd. II, 2. Aufl. 2008, N. 23 zu Art. 718a OR ). Gemäss ZIHLER UND KRÄHENBÜHL (a.a.O., S. 60 f.), beides Juristen im eidgenössischen Amt für das Handelsregister, handelt es sich bei der Präzisierung, bei der wie im vorliegend zu beurteilenden Eintragungsbegehren eine Auswahl von Mitwirkenden genannt wird ("A mit Kollektivunterschrift zu zweien mit B oder C"), denn auch um eine der eintragungsfähigen Kombinationen, die sich in der Handelsregisterpraxis herausgebildet haben. Ein Bedürfnis nach einer Änderung der Praxis bzw. der Rechtsgrundlagen im Bereich der Zeichnungsberechtigungen verneinen die beiden Autoren (ZIHLER/KRÄHENBÜHL, a.a.O., S. 90).</w:t>
      </w:r>
    </w:p>
    <w:p>
      <w:r>
        <w:rPr>
          <w:b/>
        </w:rPr>
        <w:t>E. 2.3.4</w:t>
      </w:r>
    </w:p>
    <w:p>
      <w:r>
        <w:t>Damit verstösst der angefochtene Entscheid nicht nur gegen die mit BGE 121 III 368 begründete Rechtsprechung, sondern steht auch im Widerspruch zur herrschenden Lehre und bewährten BGE 142 III 204 S. 210 Handelsregisterpraxis. Entgegen der Auffassung der Vorinstanz sind die vorliegend zur Eintragung angemeldeten, präzisierten Kollektivunterschriften in das Handelsregister einzutragen.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