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650</w:t>
      </w:r>
    </w:p>
    <w:p>
      <w:r>
        <w:t>Bundesgericht (BGE), 2015-01-01, DE</w:t>
      </w:r>
    </w:p>
    <w:p>
      <w:r>
        <w:rPr>
          <w:b/>
        </w:rPr>
        <w:t xml:space="preserve">Quelle: </w:t>
      </w:r>
      <w:r>
        <w:t>https://mcp.opencaselaw.ch/entscheid/bge_BGE_141_V_650</w:t>
      </w:r>
    </w:p>
    <w:p>
      <w:r>
        <w:t>FR: ATF 141 V 650</w:t>
      </w:r>
    </w:p>
    <w:p>
      <w:r>
        <w:t>IT: DTF 141 V 650</w:t>
      </w:r>
    </w:p>
    <w:p>
      <w:pPr>
        <w:pStyle w:val="Heading2"/>
      </w:pPr>
      <w:r>
        <w:t>Regeste</w:t>
      </w:r>
    </w:p>
    <w:p>
      <w:r>
        <w:t>Regeste Art. 56 Abs. 1 lit. b BVG; Sicherstellung gesetzlicher Leistungen von Vorsorgeeinrichtungen. Der Sicherheitsfonds hat eine Freizügigkeitsleistung, die ohne Bestehen eines Vorsorgeverhältnisses in eine Vorsorgeeinrichtung eingebracht wurde, nicht sicherzustellen, und zwar unabhängig vom Hintergrund der Überweisung (E. 5).</w:t>
      </w:r>
    </w:p>
    <w:p>
      <w:r>
        <w:t>Regeste Art. 56 al. 1 let. b LPP; garantie des prestations légales d'institutions de prévoyance. Le fonds de garantie ne doit pas garantir une prestation de libre passage qui a été transférée à une institution de prévoyance sans l'existence d'un rapport de prévoyance, et ce quelque soit le motif du transfert (consid. 5).</w:t>
      </w:r>
    </w:p>
    <w:p>
      <w:r>
        <w:t>Regesto Art. 56 cpv. 1 lett. b LPP; garanzia delle prestazioni legali degli istituti di previdenza. Il fondo di garanzia non deve garantire una prestazione di libero passaggio che è stata trasferita a un istituto di previdenza senza l'esistenza di un rapporto di previdenza, e questo indipendentemente dal motivo del trasferimento (consid. 5).</w:t>
      </w:r>
    </w:p>
    <w:p>
      <w:pPr>
        <w:pStyle w:val="Heading2"/>
      </w:pPr>
      <w:r>
        <w:t>Erwägungen</w:t>
      </w:r>
    </w:p>
    <w:p>
      <w:r>
        <w:rPr>
          <w:b/>
        </w:rPr>
        <w:t>E. 2.1</w:t>
      </w:r>
    </w:p>
    <w:p>
      <w:r>
        <w:t>Der Sicherheitsfonds stellt die gesetzlichen Leistungen von zahlungsunfähig gewordenen oder im Falle von vergessenen Guthaben liquidierter Vorsorgeeinrichtungen sicher ( Art. 56 Abs. 1 lit. b BVG ). BGE 141 V 650 S. 652 Zudem stellt er die über die gesetzlichen Leistungen hinausgehenden reglementarischen Leistungen von zahlungsunfähig gewordenen Vorsorgeeinrichtungen sicher, soweit diese Leistungen auf Vorsorgeverhältnissen beruhen, auf die das FZG (SR 831.42) anwendbar ist ( Art. 56 Abs. 1 lit. c BVG ). Die Sicherstellung nach Abs. 1 lit. c umfasst höchstens die Leistungen, die sich aufgrund eines massgebenden Lohnes nach dem AHVG in der anderthalbfachen Höhe des oberen Grenzbetrages nach Art. 8 Abs. 1 dieses Gesetzes ergeben ( Art. 56 Abs. 2 BVG ).</w:t>
      </w:r>
    </w:p>
    <w:p>
      <w:r>
        <w:rPr>
          <w:b/>
        </w:rPr>
        <w:t>E. 2.2</w:t>
      </w:r>
    </w:p>
    <w:p>
      <w:r>
        <w:t>Gestützt auf Art. 56 Abs. 4 BVG regelte der Bundesrat weitere Leistungsvoraussetzungen in der Verordnung vom 22. Juni 1998 über den Sicherheitsfonds BVG (SFV; SR 831.432.1): Antragstellerin für die Leistungen des Sicherheitsfonds ist die zahlungsunfähig gewordene Vorsorgeeinrichtung oder die Rechtsträgerin des insolvent gewordenen Versichertenkollektivs ( Art. 24 Abs. 1 SFV ). Zahlungsunfähig ist eine Vorsorgeeinrichtung, wenn sie fällige gesetzliche oder reglementarische Leistungen nicht erbringen kann und eine Sanierung nicht mehr möglich ist. Nicht mehr möglich ist die Sanierung u.a., wenn über eine Vorsorgeeinrichtung ein Liquidations- oder Konkursverfahren eröffnet worden ist ( Art. 25 Abs. 1 u. 2 SFV ). Der Sicherheitsfonds stellt den Betrag sicher, welcher der Vorsorgeeinrichtung zur Erfüllung ihrer gesetzlichen oder reglementarischen Verpflichtungen fehlt. Er kann bis zum Abschluss des Liquidations- oder Konkursverfahrens Vorschüsse leisten ( Art. 26 Abs. 1 SFV ).</w:t>
      </w:r>
    </w:p>
    <w:p>
      <w:r>
        <w:rPr>
          <w:b/>
        </w:rPr>
        <w:t>E. 3.1</w:t>
      </w:r>
    </w:p>
    <w:p>
      <w:r>
        <w:t>Zur Beschwerde in öffentlich-rechtlichen Angelegenheiten ist berechtigt, wer u.a. durch den angefochtenen Entscheid besonders berührt ist und ein schutzwürdiges Interesse an dessen Aufhebung oder Änderung hat ( Art. 89 Abs. 1 lit. b u. c BGG ). Die Rechtsprechung hat die Legitimation Dritter zur Anfechtung "pro Adressat" unter bestimmten Umständen dann zugelassen, wenn der Dritte als Folge des Entscheids unmittelbar in seinen vermögensrechtlichen Interessen berührt ist ( BGE 135 V 382 E. 3.3.1 S. 387 mit Hinweisen).</w:t>
      </w:r>
    </w:p>
    <w:p>
      <w:r>
        <w:rPr>
          <w:b/>
        </w:rPr>
        <w:t>E. 3.2</w:t>
      </w:r>
    </w:p>
    <w:p>
      <w:r>
        <w:t>In Bezug auf die - gleich lautende - Bestimmung zur Beschwerdelegitimation von Art. 48 Abs. 1 lit. b und c VwVG (SR 172.021) und insbesondere unter Berücksichtigung von Art. 24 Abs. 1 SFV (E. 2.2) entschied das Bundesgericht, dass die Destinatäre einer Vorsorgeeinrichtung aus der die Sicherstellung ablehnenden Verfügung des Sicherheitsfonds keinen unmittelbaren Nachteil erleiden, weshalb es ihnen selbst dann an der Beschwerdelegitimation fehlt, wenn sie BGE 141 V 650 S. 653 formelle Verfügungsadressaten sind (SVR 2010 BVG Nr. 22 S. 86, 9C_918/2009 E. 4.3.1; bestätigt in: SVR 2012 BVG Nr. 41 S. 152, 9C_616/2011 E. 3.6 und 3.7).</w:t>
      </w:r>
    </w:p>
    <w:p>
      <w:r>
        <w:rPr>
          <w:b/>
        </w:rPr>
        <w:t>E. 3.3</w:t>
      </w:r>
    </w:p>
    <w:p>
      <w:r>
        <w:t>Da die Legitimation im Verfahren vor dem Bundesverwaltungsgericht, die sich nach Art. 48 Abs. 1 lit. b und c VwVG richtet ( Art. 37 des Bundesgesetzes vom 17. Juni 2005 über das Bundesverwaltungsgericht [VGG; SR 173.32] ), nicht enger umschrieben sein kann als im Verfahren vor der oberen Instanz (Einheit des Verfahrens; vgl. BGE 135 V 382 E. 3.3.2 S. 388), ist auf die Beschwerde des A. (9C_119/2015) nicht einzutreten. Das Rechtsmittel der PK-C (9C_138/2015) als Adressatin der angefochtenen Verfügung hingegen ist zulässig; im Rahmen der entsprechenden Beurteilung bleibt die Vernehmlassung des A. vom 27. April 2015, die er in seiner Stellung als Beigeladener eingereicht hat, beachtlich.</w:t>
      </w:r>
    </w:p>
    <w:p>
      <w:r>
        <w:rPr>
          <w:b/>
        </w:rPr>
        <w:t>E. 4.1</w:t>
      </w:r>
    </w:p>
    <w:p>
      <w:r>
        <w:t>Das Bundesverwaltungsgericht ist der Auffassung, dass irrtümlich resp. zu Unrecht an eine Vorsorgeeinrichtung übertragene Freizügigkeitsguthaben nicht unter den Begriff der "gesetzlichen Leistungen" gemäss Art. 56 Abs. 1 lit. b BVG fielen. Beim Transfer der Freizügigkeitsleistung in die Vorsorgeeinrichtung müsse eine Anstellung an einen angeschlossenen Arbeitgeber und ein versicherter Verdienst vorliegen. Mangels eines solchen Anschlusses und versicherten Verdienstes im Zeitpunkt der Überweisung hat es folglich die Leistungspflicht des Sicherheitsfonds verneint.</w:t>
      </w:r>
    </w:p>
    <w:p>
      <w:r>
        <w:rPr>
          <w:b/>
        </w:rPr>
        <w:t>E. 4.2</w:t>
      </w:r>
    </w:p>
    <w:p>
      <w:r>
        <w:t>Die Beschwerdeführerin und einzelne Betroffene bringen im Wesentlichen vor, eine fehlerhaft übermittelte Freizügigkeits- oder Austrittsleistung sei, da sie zurückzuerstatten sei, eine "gesetzliche Leistung" im Sinne von Art. 56 Abs. 1 lit. b BVG . Sie lasse sich auf Art. 27 BVG resp. das FZG oder auf eine andere Gesetzesbestimmung wie Art. 20 oder 62 OR stützen. Jedenfalls sei in Bezug auf die Sicherstellung der Anspruch auf Rückerstattung jenem bei Austritt eines Versicherten gleichgestellt.</w:t>
      </w:r>
    </w:p>
    <w:p>
      <w:r>
        <w:rPr>
          <w:b/>
        </w:rPr>
        <w:t>E. 5.1</w:t>
      </w:r>
    </w:p>
    <w:p>
      <w:r>
        <w:t>Es steht fest, dass die PK-C eine zahlungsunfähige Vorsorgeeinrichtung im Sinne von Art. 56 Abs. 1 lit. b und c BVG (i.V.m. Art. 25 Abs. 1 u. 2 SFV ) ist. Unbestritten ist auch, dass - mit einer Ausnahme - für die hier Beteiligten eine Freizügigkeitsleistung, d.h. Vermögen, das im Rahmen der beruflichen Vorsorge geäufnet worden BGE 141 V 650 S. 654 ist, in die PK-C eingebracht wurde. Weiter wird nicht vorgebracht und ist auch nicht ersichtlich, dass die vorinstanzliche Feststellung, wonach - abgesehen von einem Fall - keine dieser Personen in einem Arbeitsverhältnis zu einem der PK-C angeschlossenen Arbeitgeber gestanden habe, offensichtlich unrichtig sein oder auf einer Rechtsverletzung beruhen soll (vgl. Art. 105 Abs. 1 u. 2 BGG ). Was die eine Person betrifft, die einen Lohn bei einem angeschlossenen Arbeitgeber nachweisen konnte, so ist unbestritten, dass deren Austrittsleistung bereits an die Auffangeinrichtung überwiesen wurde und keine Hinweise auf eine unrichtige Versicherung bestehen. Sodann macht weder die PK-C noch eine der betroffenen Personen geltend, dass reglementarische Leistungen sicherzustellen sind.</w:t>
      </w:r>
    </w:p>
    <w:p>
      <w:r>
        <w:rPr>
          <w:b/>
        </w:rPr>
        <w:t>E. 5.2.1</w:t>
      </w:r>
    </w:p>
    <w:p>
      <w:r>
        <w:t>Der Wortlaut von Art. 56 Abs. 1 lit. b BVG und die Systematik des BVG sind unmissverständlich: Die Sicherstellung durch den Sicherheitsfonds umfasst ausschliesslich Leistungsversprechen von Vorsorgeeinrichtungen (vgl. E. 2 vorne). Es sind denn auch nur (dem FZG unterstellte) Vorsorgeeinrichtungen dem Sicherheitsfonds angeschlossen ( Art. 57 BVG ). Freizügigkeitseinrichtungen fallen, da sie keine Vorsorgeeinrichtungen sind (vgl. dazu statt vieler Urteil 9C_131/2014 vom 10. September 2014 E. 3 mit Hinweis auf BGE 122 V 320 ), nicht unter den Schutzbereich resp. in den Aufgabenbereich des Sicherheitsfonds.</w:t>
      </w:r>
    </w:p>
    <w:p>
      <w:r>
        <w:rPr>
          <w:b/>
        </w:rPr>
        <w:t>E. 5.2.2</w:t>
      </w:r>
    </w:p>
    <w:p>
      <w:r>
        <w:t>Die Anschlusspflicht an eine Vorsorgeeinrichtung trifft den Arbeitgeber, soweit er obligatorisch zu versichernde Arbeitnehmer beschäftigt ( Art. 11 Abs. 1 BVG ). Obligatorisch zu versichern hat der Arbeitgeber einen Arbeitnehmer ab einer bestimmten Lohnhöhe (vgl. Art. 8 BVG ). Die gesetzlichen Leistungsversprechen der Vorsorgeeinrichtungen beruhen somit auf einem Vorsorgeverhältnis . Dies ergibt sich auch aus Art. 56 Abs. 1 lit. c BVG . Mit dieser Bestimmung wurde der Insolvenzschutz ab 1. Januar 1997 auf "reglementarische Leistungen" ausgedehnt. Diese werden in der genannten Bestimmung als "über die gesetzlichen Leistungen hinausgehend" definiert ("prestations réglementaires qui vont au-delà des prestations légales"; "prestazioni regolamentari più estese"). Gleichzeitig wird klargestellt, dass nur Leistungen, die "auf Vorsorgeverhältnissen beruhen" ("reposent sur des rapports de prévoyance"; "si fondino su relazioni previdenziali"), auf die das FZG anwendbar ist, sichergestellt werden. Daraus ist zweierlei zu schliessen. Einerseits, dass mit "gesetzlichen Leistungen" gemäss dem unmittelbar voranstehenden Art. 56 Abs. 1 BGE 141 V 650 S. 655 lit. b BVG ausschliesslich solche, die sich aus dem BVG-Obligatorium ergeben, gemeint sind. Anderseits, dass im Sinne des Schlusses vom "Grösseren" (lit. c) auf das "Kleinere" (lit. b) auch diesem ein entsprechendes Vorsorgeverhältnis immanent sein muss. Beide Parameter lassen sich auch den Ausführungen im Bericht der Kommission für soziale Sicherheit und Gesundheit des Nationalrates vom 24. August 1995 zur "Parlamentarischen Initiative Verbesserung der Insolvenzdeckung in der beruflichen Vorsorge (Initiative Rechsteiner)" und in der entsprechenden Stellungnahme des Bundesrates vom 15. November 1995 zur Ausgangslage vor Einführung von Art. 56 Abs. 1 lit. c BVG entnehmen (BBl 1995 570 Ziff. 31, 573 Ziff. 35 und 581 Ziff. 1).</w:t>
      </w:r>
    </w:p>
    <w:p>
      <w:r>
        <w:rPr>
          <w:b/>
        </w:rPr>
        <w:t>E. 5.2.3</w:t>
      </w:r>
    </w:p>
    <w:p>
      <w:r>
        <w:t>Das Bundesgericht hat seit jeher unter "gesetzlichen Leistungen von (...) Vorsorgeeinrichtungen" ("prestations légales dues par des institutions de prévoyance"; "prestazioni legali degli istituti di previdenza") sämtliche gesetzlichen obligatorischen Leistungsansprüche der versicherten Personen verstanden, die bei Fälligkeit erfüllt werden müssen, "also neben den Ansprüchen bei Erreichen des Schlussalters auch diejenigen im Invaliditäts-, Todes- und Freizügigkeitsfall". Gemeint sind damit die Versicherungsleistungen gemäss dem (heutigen) zweiten Teil, ersten Titel, Kapitel 3 und 4 des BVG (wozu seit 1. Januar 1995 auch die Wohneigentumsförderung gehört). Mit anderen Worten sichert der Sicherheitsfonds nach dem Grundgedanken des BVG die gesetzlichen Ansprüche der obligatorisch versicherten Personen bei Zahlungsunfähigkeit der Vorsorgeeinrichtung und ist nicht dazu bestimmt, die Vorsorgeeinrichtung schadlos zu halten (SZS 1990 S. 311, 2A.158/1988 E. 6d, wobei sich die heute geltende und die ursprüngliche, bis 31. Dezember 1996 gültige Fassung von Art. 56 Abs. 1 lit. b BVG im hier interessierenden Punkt entsprechen). In SZS 2001 S. 357, 2A.408/2000 lit. B bestätigte das Bundesgericht indirekt die in Art. 56 Abs. 1 lit. b BVG auf das BVG-Obligatorium beschränkte Sicherstellungspflicht des Sicherheitsfonds, indem es festhielt: "Mit einer am 21. Juni 1996 verabschiedeten und am 1. Januar 1997 in Kraft getretenen Revision von Art. 56 BVG wurden sodann die Insolvenzleistungen des Sicherheitsfonds auf Teile des ausserobligatorischen Bereichs ausgedehnt. Nach Art. 56 Abs. 1 lit. c und Abs. 2 BVG waren nunmehr auch überobligatorische Leistungen auf der Basis eines massgebenden AHV-Lohnes bis zum anderthalbfachen oberen Grenzbetrag nach Art. 8 Abs. 1 BVG , d.h. bis Fr. 107'460.-, sichergestellt." BGE 141 V 650 S. 656</w:t>
      </w:r>
    </w:p>
    <w:p>
      <w:r>
        <w:rPr>
          <w:b/>
        </w:rPr>
        <w:t>E. 5.3.1</w:t>
      </w:r>
    </w:p>
    <w:p>
      <w:r>
        <w:t>In concreto fehlt es an Vorsorgeverhältnissen. Die fraglichen Beteiligten waren (bis auf eine Person) nie bei der PK-C für die berufliche Vorsorge versichert; ihr jeweiliger Arbeitgeber war nicht der PK-C angeschlossen (vgl. E. 5.1 vorne). Mangels eines Vorsorgeverhältnisses liegt auch kein Anwendungsfall von Art. 13 FZG vor, wonach der überschüssige Teil einer Eintrittsleistung bei der Vorsorgeeinrichtung verbleiben kann. Es ist auch keine Situation im Sinne von Art. 4 Abs. 2 FZG gegeben, in welcher die Austrittsleistungen infolge Ausbleibens einer Mitteilung (zur Erhaltung des Vorsorgeschutzes) bei der "alten" Vorsorgeeinrichtung verharrten. Die PK-C fungierte somit hinsichtlich der streitigen Gelder als reine Freizügigkeitseinrichtung. Ob und inwieweit dies - zumindest temporär - zulässig war, braucht an dieser Stelle nicht erörtert zu werden (vgl. dazu jedoch [Bereinigte Fassung der] BSV-Mitteilungen über die berufliche Vorsorge Nr. 32 vom 21. April 1995 Rz. 186 Ziff. 1 S. 2 sowie Nr. 34 vom 8. Dezember 1995 Rz. 198 S. 3 und Rz. 199 S. 4). Dieser Frage ist im Rahmen der Prüfung des Anspruchs auf Rückerstattung oder - bei Vorliegen der entsprechenden Voraussetzungen - auf Schadenersatz nachzugehen (vgl. E. 5.3.2 nachfolgend). So oder anders: Freizügigkeitsgelder, die ohne bestehendes Vorsorgeverhältnis in eine Vorsorgeeinrichtung einbezahlt werden, mutieren deswegen nicht zurück in ihre ursprüngliche "Leistungsform" resp. zu einem obligatorischen Leistungsversprechen einer Vorsorgeeinrichtung im Sinne einer Austrittsleistung gemäss Art. 27 BVG in Verbindung mit Art. 2 Abs. 1 FZG . Sie können einer solchen auch nicht gleichgestellt werden. Andernfalls ständen Tür und Tor offen, den fehlenden resp. verminderten Insolvenzschutz bei Freizügigkeitseinrichtungen mittels (Fehl-)Überweisungen an Vorsorgeeinrichtungen zu umgehen. Dies hat - bei der vorliegenden Sachverhaltskonstellation - absolut zu gelten, zumal der Gesetzgeber nicht gewillt ist, hinsichtlich Freizügigkeitseinrichtungen über den bestehenden Schutz hinauszugehen resp. den Aufgabenbereich des Sicherheitsfonds auf solche zu erweitern (Motion Amherd Viola [10.3446] betreffend die Sicherung von Geldern in Freizügigkeitsstiftungen, die der Nationalrat am 1. Oktober 2010 ablehnte).</w:t>
      </w:r>
    </w:p>
    <w:p>
      <w:r>
        <w:rPr>
          <w:b/>
        </w:rPr>
        <w:t>E. 5.3.2</w:t>
      </w:r>
    </w:p>
    <w:p>
      <w:r>
        <w:t>Der Hintergrund der (Fehl-)Überweisung spielt demnach keine Rolle. Er ist allenfalls massgebend für die Begründung der Rückforderung oder von allfälligem Schadenersatz; Letzterer je nach Sachlage gegenüber dem (damaligen) Arbeitgeber und/oder der vormaligen BGE 141 V 650 S. 657 (überweisenden) Vorsorgeeinrichtung. Ebenso wenig braucht hier danach gefragt zu werden, ob die (Fehl-)Überweisung missbräuchlich ausgeführt wurde (vgl. Art. 56 Abs. 5 BVG ). Diese Bestimmung ermöglicht es dem Sicherheitsfonds, die Sicherstellung von (u.a.) obligatorischen Leistungsversprechen auszusetzen. Zu denken ist an die Verweigerung einer Sicherstellung bezüglich (obligatorischer) Leistungsansprüche von Organen der Arbeitgeberfirma auf Grund von selbstverschuldeten Beitragsausständen (vgl. BSV-Mitteilungen über die berufliche Vorsorge Nr. 101 vom 27. September 2007 Rz. 600 S. 9). Um eine solche Konstellation geht es hier aber von vornherein nicht, da die Freizügigkeitsgelder, die losgelöst von einem Vorsorgeverhältnis bei einer Vorsorgeeinrichtung deponiert werden, nach dem Gesagten nicht zu den Leistungsversprechen nach Art. 56 Abs. 1 lit. b BVG gehören.</w:t>
      </w:r>
    </w:p>
    <w:p>
      <w:r>
        <w:rPr>
          <w:b/>
        </w:rPr>
        <w:t>E. 5.4</w:t>
      </w:r>
    </w:p>
    <w:p>
      <w:r>
        <w:t>Zusammengefasst steht fest, dass der Sicherheitsfonds BVG eine Freizügigkeitsleistung, die ohne Bestehen eines Vorsorgeverhältnisses in eine Vorsorgeeinrichtung eingebracht wurde, nicht sicherzustellen hat, und zwar unabhängig vom Hintergrund der Überweisung.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