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634</w:t>
      </w:r>
    </w:p>
    <w:p>
      <w:r>
        <w:t>Bundesgericht (BGE), 2015-12-03, DE</w:t>
      </w:r>
    </w:p>
    <w:p>
      <w:r>
        <w:rPr>
          <w:b/>
        </w:rPr>
        <w:t xml:space="preserve">Quelle: </w:t>
      </w:r>
      <w:r>
        <w:t>https://mcp.opencaselaw.ch/entscheid/bge_BGE_141_V_634</w:t>
      </w:r>
    </w:p>
    <w:p>
      <w:r>
        <w:t>FR: ATF 141 V 634</w:t>
      </w:r>
    </w:p>
    <w:p>
      <w:r>
        <w:t>IT: DTF 141 V 634</w:t>
      </w:r>
    </w:p>
    <w:p>
      <w:pPr>
        <w:pStyle w:val="Heading2"/>
      </w:pPr>
      <w:r>
        <w:t>Regeste</w:t>
      </w:r>
    </w:p>
    <w:p>
      <w:r>
        <w:t>Regeste Art. 4, 5 Abs. 1 und 2 und Art. 9 Abs. 2 lit. f AHVG; Art. 7 lit. h und Art. 23 AHVV; Dividendenauszahlungen als massgeblicher Lohn. Bei der Abgrenzung zwischen Lohn und Dividende ist rechtsprechungsgemäss von der Aufteilung, welche die Gesellschaft gewählt hat, nur dann abzuweichen, wenn ein offensichtliches Missverhältnis zwischen Arbeitsleistung und Lohn bzw. zwischen eingesetztem Vermögen und Dividende besteht (E. 2). In casu Bejahung der Umqualifikation einer Dividende in massgebenden Lohn, da kumulativ ein unangemessen tiefer Lohn mit einer im Vergleich zum eingesetzten Kapital unangemessen hohen Dividende einherging (E. 3).</w:t>
      </w:r>
    </w:p>
    <w:p>
      <w:r>
        <w:t>Regeste Art. 4, 5 al. 1 et 2 et art. 9 al. 2 let. f LAVS; art. 7 let. h et art. 23 RAVS; qualification d'un dividende en tant que salaire déterminant. Selon la jurisprudence relative à la délimitation entre salaire et dividende, il n'y a lieu de déroger à la répartition choisie par la société que s'il existe une disproportion manifeste entre la prestation de travail et le salaire, respectivement entre le capital propre engagé dans l'entreprise et le dividende (consid. 2). Admission in casu de la conversion d'un dividende en salaire déterminant, dans la mesure où à un salaire exagérément bas s'ajoutait un dividende exagérément élevé en comparaison avec le capital propre engagé dans l'entreprise (consid. 3).</w:t>
      </w:r>
    </w:p>
    <w:p>
      <w:r>
        <w:t>Regesto Art. 4, 5 cpv. 1 e 2 e art. 9 cpv. 2 lett. f LAVS; art. 7 lett. h e art. 23 OAVS; pagamento di un dividendo come salario determinante. Nell'ambito della distinzione fra salario e dividendo, per giurisprudenza occorre distanziarsi dalla scelta operata dalla società unicamente se si presenta una sproporzione manifesta tra la prestazione lavorativa e il salario rispettivamente tra il capitale impiegato e il dividendo (consid. 2). Nel caso concreto è stata ammessa la riqualificazione di un dividendo come salario determinante, poiché un salario eccessivamente basso era accompagnato da un dividendo esageratamente alto, se confrontato con il capitale impiegato (consid. 3).</w:t>
      </w:r>
    </w:p>
    <w:p>
      <w:pPr>
        <w:pStyle w:val="Heading2"/>
      </w:pPr>
      <w:r>
        <w:t>Erwägungen</w:t>
      </w:r>
    </w:p>
    <w:p>
      <w:r>
        <w:rPr>
          <w:b/>
        </w:rPr>
        <w:t>E. 2.1</w:t>
      </w:r>
    </w:p>
    <w:p>
      <w:r>
        <w:t>Gemäss Art. 4 und 5 AHVG werden Sozialversicherungsbeiträge nur vom Erwerbseinkommen erhoben, nicht aber vom Vermögensertrag ( BGE 122 V 178 E. 3b S. 179 f.). Dividenden stellen beitragsfreien Vermögensertrag dar (vgl. ferner Rz. 2011 der Wegleitung des Bundesamtes für Sozialversicherungen [BSV] über den massgebenden Lohn in der AHV, IV und EO, gültig ab 1. Januar 2008 [Stand 1. Januar 2012; nachfolgend: WML]). Weil auf Dividenden keine Sozialversicherungsabgaben geschuldet sind, mag es beitragspflichtigen Unternehmeraktionären als vorteilhaft erscheinen, hohe Dividenden und ein tiefes Salär auszuweisen (Urteile 9C_837/2014 vom 8. April 2015 E. 1.1, in: SVR 2015 AHV Nr. 7 S. 25, und 9C_669/2011 vom 25. Oktober 2012 E. 2.1, in: SVR 2013 AHV Nr. 4 S. 15).</w:t>
      </w:r>
    </w:p>
    <w:p>
      <w:r>
        <w:rPr>
          <w:b/>
        </w:rPr>
        <w:t>E. 2.2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(SR 831.101)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134 V 297 E. 2.1 S. 299 f. mit Hinweisen u.a. auf BGE 103 V 1 E. 2b S. 4; Urteile 9C_837/2014 vom 8. April 2015 E. 1.2, in: SVR 2015 AHV Nr. 7 S. 25, und 9C_669/2011 vom 25. Oktober 2012 E. 2.2, in: SVR 2013 AHV Nr. 4 S. 15; siehe auch PAUL CADOTSCH, Unternehmenssteuerreform II: Dividenden und AHV-Beiträge, Steuerrevue StR 1/2009, S. 47 ff.).</w:t>
      </w:r>
    </w:p>
    <w:p>
      <w:r>
        <w:rPr>
          <w:b/>
        </w:rPr>
        <w:t>E. 2.2.1</w:t>
      </w:r>
    </w:p>
    <w:p>
      <w:r>
        <w:t>Dabei muss im Lichte der gesetzlichen Grundentscheidung, wonach nur Erwerbseinkommen, nicht aber Vermögensertrag beitragspflichtig ist, bei der Beurteilung von Leistungen, welche eine Aktiengesellschaft an Personen ausrichtet, die zugleich Arbeitnehmer und Aktionäre sind, einerseits eine angemessene Entschädigung BGE 141 V 634 S. 637 für die geleistete Arbeit und anderseits ein angemessener Vermögensertrag zugrunde gelegt werden. Die Gesellschaft hat hier einen erheblichen Ermessensspielraum. Den Steuerbehörden steht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(E. 2.2 hievor), aber mit umgekehrten Vorzeichen, ist dabei auf einen Drittvergleich abzustellen: Es ist zu prüfen, ob unter Berücksichtigung aller objektiven und subjektiven Faktoren die gleiche Leistung auch einem aussenstehenden Dritten erbracht worden wäre (dazu im Detail und mit zahlreichen Hinweisen: BGE 134 V 297 E. 2.2 S. 300 f.; ferner Urteile 9C_837/2014 vom 8. April 2015 E. 1.3, in: SVR 2015 AHV Nr. 7 S. 25, und 9C_669/2011 vom 25. Oktober 2012 E. 2.3, in: SVR 2013 AHV Nr. 4 S. 15).</w:t>
      </w:r>
    </w:p>
    <w:p>
      <w:r>
        <w:rPr>
          <w:b/>
        </w:rPr>
        <w:t>E. 2.2.2</w:t>
      </w:r>
    </w:p>
    <w:p>
      <w:r>
        <w:t>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 offene und stille Reserven) zu beurteilen ist ( BGE 134 V 297 E. 2.8 S. 304; Urteile 9C_837/2014 vom 8. April 2015 E. 1.4, in: SVR 2015 AHV Nr. 7 S. 25, und 9C_669/2011 vom 25. Oktober 2012 E. 2.4, in: SVR 2013 AHV Nr. 4 S. 15; vgl. zudem Rz. 2011.3 WML).</w:t>
      </w:r>
    </w:p>
    <w:p>
      <w:r>
        <w:rPr>
          <w:b/>
        </w:rPr>
        <w:t>E. 2.3</w:t>
      </w:r>
    </w:p>
    <w:p>
      <w:r>
        <w:t>Zur Milderung der wirtschaftlichen Doppelbelastung von Inhabern gesellschaftlicher Beteiligungsrechte (durch eine volle Versteuerung von Dividenden einmal als Gewinn von den Unternehmen und ein zweites Mal bei der Ausschüttung als Einkommen von den Anteilseignern) wurde zunächst im Steuerrecht einiger Kantone (so auch der Kantone Ob- und Nidwalden) die Dividendenbesteuerung reduziert. Im Kanton Obwalden trat im Jahr 2001 die privilegierte BGE 141 V 634 S. 638 Dividendenbesteuerung in Kraft: Demnach sind Dividenden aus Aktien nur im Umfang von 50 % steuerbar, wenn die steuerpflichtige Person eine Beteiligungsquote von mindestens 10 % hält (Art. 22 Abs. 2 des Steuergesetzes des Kantons Obwalden vom 30. Oktober 1994 [GDB 641.4]). Mit dem auf den 1. Januar 2009 in Kraft getretenenBundesgesetz vom 23. März 2007 über die Verbesserung der steuerlichen Rahmenbedingungen für unternehmerische Tätigkeiten und Investitionen (Unternehmenssteuerreformgesetz II; AS 2008 2893) ist die privilegierte Dividendenbesteuerung auch bei der direkten Bundessteuer eingeführt worden ( Art. 20 Abs. 1 bis DBG [SR 642.11];Urteil 9C_669/2011 vom 25. Oktober 2012 E. 2.5, in: SVR 2013 AHV Nr. 4 S. 15).</w:t>
      </w:r>
    </w:p>
    <w:p>
      <w:r>
        <w:rPr>
          <w:b/>
        </w:rPr>
        <w:t>E. 2.4</w:t>
      </w:r>
    </w:p>
    <w:p>
      <w:r>
        <w:t>Da die im Bundesrecht getroffene Regelung der privilegierten Dividendenbesteuerung vom Gehalt her mit der in den Kantonen Ob- und Nidwalden (hier: Art. 40 Abs. 3 des Steuergesetzes des Kantons Nidwalden vom 22. März 2000 [NG 521.1]) bereits früher eingeführten Regelung übereinstimmt, ist die vorne (E. 2.2-2.2.2) erörterte Rechtsprechung BGE 134 V 297 nach dem Inkrafttreten des Unternehmenssteuerreformgesetzes II weiterhin anwendbar (Urteil 9C_669/2011 vom 25. Oktober 2012 E. 2.6, in: SVR 2013 AHV Nr. 4 S. 15).</w:t>
      </w:r>
    </w:p>
    <w:p>
      <w:r>
        <w:rPr>
          <w:b/>
        </w:rPr>
        <w:t>E. 2.5</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Widerspruchslosigkeit der gesamten Rechtsordnung willen ( BGE 103 V 1 E. 2c S. 4 f.; Urteil des Eidg. Versicherungsgerichts H 131/86 vom 3. August 1988 E. 2c, in: ZAK 1989 S. 147). Die Parallelität zwischen sozialversicherungs- und steuerrechtlicher Qualifikation ist nicht leichthin preiszugeben (Urteile 9C_837/2014 vom 8. April 2015 E. 1.5, in: SVR 2015 AHV Nr. 7 S. 25, und 9C_669/2011 vom 25. Oktober 2012 E. 2.7, in: SVR 2013 AHV Nr. 4 S. 15, je mit Hinweis).</w:t>
      </w:r>
    </w:p>
    <w:p>
      <w:r>
        <w:rPr>
          <w:b/>
        </w:rPr>
        <w:t>E. 3.1</w:t>
      </w:r>
    </w:p>
    <w:p>
      <w:r>
        <w:t>Das Verwaltungsgericht erwog, es sei zum einen mit der Beschwerdegegnerin von einem offensichtlichen Missverhältnis zwischen der Arbeitsleistung des Beschwerdeführers 2 und dem ihm im BGE 141 V 634 S. 639 betreffenden Zeitraum ausbezahlten Entgelt auszugehen. Der branchenübliche Verdienst ergebe sich in erster Linie anhand des vom Bundesamt für Statistik erarbeiteten individuellen Lohnrechners "Salarium". Hierbei sei zu beachten, dass der Beschwerdeführer 2 eine Ausbildung zum Betriebsökonomen FH und eine langjährige berufliche Erfahrung aufweise (18 Jahre Finanzindustrie, zehn Jahre Informationstechnologie, zehn Jahre Projektmanagement, drei Jahre Sales &amp; Marketing). Vor diesem Hintergrund wie auch angesichts des vom Beschwerdeführer 2 auf seiner Website publizierten Kompetenzprofils seien die von der Beschwerdegegnerin dem Lohnrechner zugrunde gelegten Faktoren "Dienstleistungen der Informationstechnologie", "Ziel- und Strategiedefinition von Unternehmen", "höchst anspruchsvolle und schwierigste Tätigkeiten", "oberes und mittleres Kader", "Region Zentralschweiz", "kleines Unternehmen mit 20 Beschäftigten", "13 Monatslöhne und Sonderzahlungen" sowie "Arbeitszeit 42 Stunden" nicht zu beanstanden. Auf Grund der zusätzlichen Ausbildungen des Beschwerdeführers 2 (Prozessmanager CAS, ITIL V3 etc.) rechtfertige es sich ferner, das daraus resultierende mittlere Jahressalär von Fr. 173'563.- auf Fr. 180'000.- zu erhöhen, zumal sich die diesbezüglichen Höchstwerte gemäss "Salarium" auf Fr. 208'442.- beliefen und die Revisionsstellen zur Ermittlung der branchenüblichen Ansätze regelmässig auch Erfahrungs- und Vergleichswerte heranzögen. Die Einkommensverhältnisse des Beschwerdeführers 2 als Arbeitnehmer vor und nach seiner Tätigkeit als Geschäftsführer der Beschwerdeführerin 1 erwiesen sich mangels qualitativ gleichwertigen Tätigkeitsfelds demgegenüber als nicht aussagekräftig.</w:t>
      </w:r>
    </w:p>
    <w:p>
      <w:r>
        <w:rPr>
          <w:b/>
        </w:rPr>
        <w:t>E. 3.2</w:t>
      </w:r>
    </w:p>
    <w:p>
      <w:r>
        <w:t>Den Darlegungen der Vorinstanz ist grundsätzlich beizupflichten. Was die Beschwerdeführenden dagegen vorbringen, vermag keine Bundesrechtswidrigkeit der entsprechenden Feststellungen darzutun. Die Einwendungen erschöpfen sich im Wesentlichen denn auch in einer Wiederholung der bereits im kantonalen Beschwerdeverfahren erhobenen und entkräfteten Rügen.</w:t>
      </w:r>
    </w:p>
    <w:p>
      <w:r>
        <w:rPr>
          <w:b/>
        </w:rPr>
        <w:t>E. 3.2.1</w:t>
      </w:r>
    </w:p>
    <w:p>
      <w:r>
        <w:t>So hat sich das kantonale Gericht bereits einlässlich mit der letztinstanzlich erneut vorgebrachten Rüge befasst, der von der Beschwerdegegnerin anhand von statistischen Durchschnittswerten ermittelte Jahreslohn von Fr. 180'000.- sei unangemessen hoch, da er in keiner Weise den konkret geleisteten Arbeiten gemäss Auftragsbeschreibung Rechnung trage. Vielmehr beruhe er auf einer nicht zutreffenden, schematischen Parametereinstellung (Tätigkeit "Ziel- und Strategiedefinition von Unternehmen" anstelle von BGE 141 V 634 S. 640 "Analysieren, Programmieren, Operating"; Anforderungsniveau "höchst anspruchsvolle und schwierigste Arbeiten" anstelle von "selbstständige und qualifizierte Arbeiten"). Wie namentlich dem Auftragsblatt zum Dienstleistungsvertrag zwischen der C. AG und der Beschwerdeführerin 1 vom 3. Juni 2008 entnommen werden kann, zielte das vom 2. Juni 2008 bis 31. März 2009 dauernde Projekt darauf ab, die Bankensoftware D. bei vier Banken der C. AG einzuführen. Das Stellenprofil beinhaltete dabei insbesondere das Einbringen der Best Practice für alle Aspekte einer Einführung von D. (fachliche und methodische Projektmanagement-Unterstützung, bankfachliche Umsetzung, IT-technische Umsetzung, Aufbau des Betriebs etc.). Allein daraus geht hervor, dass die dem Beschwerdeführer 2 übertragenen Aufgaben weit über ein blosses "Analysieren, Programmieren, Operating" hinausgingen und damit, wie im angefochtenen Entscheid detailliert ausgeführt, vollumfänglich dessen Kompetenzprofil (gemäss Aus- und Weiterbildung sowie beruflichem Erfahrungshintergrund) entsprachen. Der in der Folge von Juli 2009 bis Juli 2011 für die E. SA absolvierte Einsatz umfasste sodann ebenfalls "the migration of the entire Banking Group E. on the new ICT platform D. based" und stellte demnach eine vergleichbar qualifizierte Arbeit dar. Dass der Beschwerdeführer 2 "höchst anspruchsvolle und schwierigste Tätigkeiten" ausführte, lässt sich überdies aus der Höhe des mit der C. AG vereinbarten Stundenansatzes von Fr. 250.- bei einer Normalarbeitszeit von 8,5 Stunden/Tag folgern, woraus ein jährliches Einkommen von deutlich über Fr. 110'000.- bis Fr. 130'000.- resultiert, was in der Beschwerde als marktüblich bezeichnet wird. Ebenso wenig kann der Vorinstanz schliesslich ein willkürliches Verhalten vorgeworfen werden, indem sie den vor und nach der Tätigkeit des Beschwerdeführers 2 für die Beschwerdeführerin 1 im Rahmen anderweitiger Anstellungsverhältnisse erzielten Verdiensten im vorliegenden Kontext keine entscheidwesentliche Bedeutung beigemessen hat. Während der Beschwerdeführer 2 sich in seiner Funktion als Geschäftsführer der Beschwerdeführerin 1 der umfassenden Implementierung einer gesamthaften Bankensoftware-Lösung für mehrere Bankinstitute gewidmet hat, ist er seit 2. Mai 2012 als Angestellter der Unternehmung F. AG vornehmlich für einen gemäss Arbeitsvertrag (vom 26. April 2012) allgemein(er) gehaltenen Aufgabenbereich "Business- &amp; IT-Consulting" zuständig.</w:t>
      </w:r>
    </w:p>
    <w:p>
      <w:r>
        <w:rPr>
          <w:b/>
        </w:rPr>
        <w:t>E. 3.2.2</w:t>
      </w:r>
    </w:p>
    <w:p>
      <w:r>
        <w:t>Entgegen der Betrachtungsweise der Beschwerdeführenden haben Vorinstanz und Beschwerdegegnerin somit nicht unbesehen auf BGE 141 V 634 S. 641 einen statistisch festgesetzten, schematischen Wert abgestellt. Vielmehr wurde der Ansatz zwar auf der Basis des Lohnrechners "Salarium" ermittelt. Diesem zugrunde lagen indessen auf das Profil des Beschwerdeführers 2 zugeschnittene Eckdaten. Zusätzlich plausibilisierte die Verwaltung das sich daraus ergebende Resultat durch Vergleich mit marktkonformen Erfahrungswerten. Die Annahme eines branchenüblichen, der Arbeitsleistung des Beschwerdeführers 2 in Wahrheit entsprechenden Jahresgehalts von Fr. 180'000.- ist folglich nicht zu beanstanden. Daran ändert im Übrigen der Fehler von Vorinstanz und Beschwerdegegnerin bei der Berechnung des entsprechenden Jahreslohnes nichts. Da im monatlichen Bruttolohnansatz gemäss "Salarium" der Anteil 13. Monatslohn bereits mitenthalten ist ("Der monatliche Bruttolohn setzt sich zusammen aus [...] 1 / 12 des 13. Monatslohns"), muss er nicht mit 13 sondern mit 12 multipliziert werden. Beläuft sich der relevante monatliche Bruttolohn, Median, somit auf Fr. 13'351.-, beträgt das durchschnittliche jährliche Salär Fr. 160'212.- (und nicht Fr. 173'563.-). Aus dem monatlichen Höchstwert von Fr. 16'034.- resultiert alsdann ein Jahreslohn von Fr. 192'408.- (und nicht Fr. 208'442.-). Den AHV-rechtlich massgeblichen Referenzverdienst mit Fr. 180'000.- beinahe Fr. 20'000.-(und nicht nur knapp Fr. 7'000.-) über dem Mittelwert zu veranschlagen, erscheint vor diesem Hintergrund an der oberen Grenze des noch Vertretbaren. Aus den genannten Gründen ist der betreffende lohnmässige Ansatz jedoch selbst unter den neuen Vorzeichen nicht als klar überhöht einzustufen. Anzumerken bleibt, dass die Beschwerdegegnerin die Aufrechnung der Dividende ohnehin nur für den 10 % übersteigenden Teil des steuerlichen Unternehmenswerts des Eigenkapitals und nicht bis zum branchenüblichen Lohn vorgenommen hat (Lohn nach Aufrechnung: 2009: Fr. 177'400.-; 2010: Fr. 167'200.-; 2011: Fr. 169'400.-; 2012: Fr. 36'000.-). Das kantonale Gericht hat den Sachverhalt demnach auch diesbezüglich jedenfalls nicht offensichtlich unrichtig oder sonst wie rechtsfehlerhaft festgestellt, weshalb darauf abgestellt werden kann. Es ist daher von einem offenkundigen Missverhältnis zwischen der Arbeitsleistung des Beschwerdeführers 2 und dem ihm im betreffenden Zeitraum effektiv ausbezahlten Entgelt auszugehen.</w:t>
      </w:r>
    </w:p>
    <w:p>
      <w:r>
        <w:rPr>
          <w:b/>
        </w:rPr>
        <w:t>E. 3.3</w:t>
      </w:r>
    </w:p>
    <w:p>
      <w:r>
        <w:t>Die vorinstanzlich bestätigte Einschätzung der Beschwerdegegnerin, wonach die Dividendenzahlungen im Lichte der einschlägigen Rechtsprechungsgrundsätze zu hoch ausgefallen seien, wird auch vor dem Bundesgericht nicht kritisiert. Diese machen unstreitig 34 % (2009), 23,4 % (2010), 24,6 % (2011) und 35 % (2012) des BGE 141 V 634 S. 642 steuerlichen Unternehmenswertes aus und liegen damit deutlich über der Grenze von 10 % des Eigenkapitalertrags, ab welcher vermutungsweise überhöhte Dividendenzahlungen anzunehmen sind (vgl. Rz. 2011.7 der WML). Die Aufrechnung der Dividendenzahlungen des Beschwerdeführers 2 für die Jahre 2009 bis 2012 als AHV-pflichtiger Lohn ist somit rechtens und der verwaltungsgerichtliche Entscheid im Ergebnis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