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585</w:t>
      </w:r>
    </w:p>
    <w:p>
      <w:r>
        <w:t>Bundesgericht (BGE), 2015-11-24, DE</w:t>
      </w:r>
    </w:p>
    <w:p>
      <w:r>
        <w:rPr>
          <w:b/>
        </w:rPr>
        <w:t xml:space="preserve">Quelle: </w:t>
      </w:r>
      <w:r>
        <w:t>https://mcp.opencaselaw.ch/entscheid/bge_BGE_141_V_585</w:t>
      </w:r>
    </w:p>
    <w:p>
      <w:r>
        <w:t>FR: ATF 141 V 585</w:t>
      </w:r>
    </w:p>
    <w:p>
      <w:r>
        <w:t>IT: DTF 141 V 585</w:t>
      </w:r>
    </w:p>
    <w:p>
      <w:pPr>
        <w:pStyle w:val="Heading2"/>
      </w:pPr>
      <w:r>
        <w:t>Regeste</w:t>
      </w:r>
    </w:p>
    <w:p>
      <w:r>
        <w:t>Regeste Art. 4 IVG; Art. 87 Abs. 2 und 3 IVV; Art. 6-8, 17 Abs. 1 und Art. 53 Abs. 2 ATSG: Praxisänderung; Neuanmeldung. Die neue Rechtsprechung zu den somatoformen Schmerzstörungen stellt für sich allein keinen Neuanmeldungs- bzw. Revisionsgrund dar (E. 5).</w:t>
      </w:r>
    </w:p>
    <w:p>
      <w:r>
        <w:t>Regeste Art. 4 LAI; art. 87 al. 2 et 3 RAI; art. 6-8, 17 al. 1 et art. 53 al. 2 LPGA: changement de jurisprudence; nouvelle demande. La nouvelle jurisprudence concernant les syndromes douloureux somatoformes ne constitue pas en soi un motif de nouvelle demande ni de révision (consid. 5).</w:t>
      </w:r>
    </w:p>
    <w:p>
      <w:r>
        <w:t>Regesto Art. 4 LAI; art. 87 cpv. 2 e 3 OAI; art. 6-8, 17 cpv. 1 e art. 53 cpv. 2 LPGA: cambiamento di giurisprudenza; nuova domanda. La nuova giurisprudenza in materia di dolori somatoformi persistenti presa a sé stante non è un motivo per giustificare una nuova domanda o una revisione (consid. 5).</w:t>
      </w:r>
    </w:p>
    <w:p>
      <w:pPr>
        <w:pStyle w:val="Heading2"/>
      </w:pPr>
      <w:r>
        <w:t>Erwägungen</w:t>
      </w:r>
    </w:p>
    <w:p>
      <w:r>
        <w:rPr>
          <w:b/>
        </w:rPr>
        <w:t>E. 5.1</w:t>
      </w:r>
    </w:p>
    <w:p>
      <w:r>
        <w:t>Die Versicherte macht geltend, mit Urteil BGE 141 V 281 vom 3. Juni 2015 habe das Bundesgericht seine Rechtsprechung zu den somatoformen Schmerzstörungen geändert. Gemäss den Gutachten der Gutachterstelle X. vom 1. Juli 2010 und der Frau Dr. med. C. vom 25. Juni 2014 leide sie unter anderem auch an solchen Störungen. Deshalb müsse ihr ein Anspruch auf eine Beweisergänzung im Rahmen des neuen strukturierten Beweisverfahrens eingeräumt werden.</w:t>
      </w:r>
    </w:p>
    <w:p>
      <w:r>
        <w:rPr>
          <w:b/>
        </w:rPr>
        <w:t>E. 5.2</w:t>
      </w:r>
    </w:p>
    <w:p>
      <w:r>
        <w:t>Eine rechtskräftige Verfügung über eine Dauerleistung ist nur ausnahmsweise zu Ungunsten der versicherten Person an eine geänderte Gerichtspraxis anzupassen. Eine Ausnahme setzt zunächst voraus, dass die neue Praxis eine allgemeine Verbreitung erfährt. Zusätzlich müssen qualifizierende Elemente gegeben sein, welche die Nichtanwendung der neuen Praxis auf laufende Leistungen unter dem Aspekt der Rechtsgleichheit als stossend erscheinen liessen. Ein derartiges Element liegt vor, wenn die frühere Praxis nur noch auf einige wenige Personen Anwendung findet, so dass diese als privilegiert (oder diskriminiert) erscheinen, sowie wenn sich die damalige Leistungszusprechung aus der Sicht der neuen Praxis schlechterdings nicht mehr vertreten lässt ( BGE 135 V 201 E. 6.4 S. 210 f.). Die Rechtsprechung durchbricht den Grundsatz, wonach eine Praxisänderung keine Änderung formell rechtskräftiger Verfügungen über eine Dauerleistung rechtfertigt, kaum je in Bezug auf Anpassungen zu Ungunsten der Versicherten. Wo eine derartige Herabsetzung vorgenommen wurde ( BGE 112 V 387 , bestätigt in BGE 115 V 308 ), betonte das Gericht, es handle sich - angesichts des der früheren Praxis zugrunde liegenden sachfremden Kriteriums - um eine Ausnahmesituation, welche eine besondere Lösung erfordere ( BGE 115 V 308 E. 4b S. 316; vgl. auch BGE 121 V 157 E. 4b S. 162). Zu Gunsten der Versicherten liess das Gericht demgegenüber in einzelnen Fällen eine Anpassung unter weniger strengen Voraussetzungen zu (vgl. BGE 135 V 201 E. 6.1.3 mit Hinweisen auf: BGE 129 V 200 E. 1.2 S. 203 oben; BGE 120 V 128 E. 3c S. 132; BGE 107 V 153 E. 3 S. 157; SVR 2001 ALV Nr. 4 S. 9 und 10, C 222/99 E. 3b). Letztlich hat eine wertende Abwägung der betroffenen Interessen zu erfolgen ( BGE 135 V 201 E. 6.4 S. 210; siehe auch MEYER/REICHMUTH, Rechtsprechung des BGE 141 V 585 S. 588 Bundesgerichts zum IVG, 3. Aufl. 2014, N. 66 und 68 zu Art. 30-31 IVG ; GÄCHTER/MEIER, Schmerzrechtsprechung 2.0, Jusletter 29. Juni 2015, S. 20 f. Rz. 99 ff.; GEORGES PESTALOZZI-SEGER, Behinderung und Recht, 3/15, S. 4).</w:t>
      </w:r>
    </w:p>
    <w:p>
      <w:r>
        <w:rPr>
          <w:b/>
        </w:rPr>
        <w:t>E. 5.3</w:t>
      </w:r>
    </w:p>
    <w:p>
      <w:r>
        <w:t>Die frühere, mit Urteil BGE 130 V 352 eingeleitete Rechtsprechung konnte sowohl zur Bejahung als auch zur Verneinung des invalidisierenden Charakters einer anhaltenden somatoformen Schmerzstörung bzw. eines äquivalenten Beschwerdebildes führen. Dies gilt auch im Rahmen der geänderten Praxis nach BGE 141 V 281 . Mit dieser erfolgte nicht eine Änderung der Voraussetzungen für den Leistungsanspruch, sondern die Schaffung neuer Standardindikatoren für dessen Beurteilung und eines strukturierten, ergebnisoffenen Beweisverfahrens ( BGE 141 V 281 E. 3.6 S. 294 f., E. 6 S. 307 f.), ohne dass die Aussicht auf eine Rentenleistung a priori steigen würde. Das Bundesgericht betonte vielmehr, unverändert sei auch in Zukunft dem klaren Willen des Gesetzgebers gemäss Art. 7 Abs. 2 ATSG (SR 830.1) Rechnung zu tragen, wonach im Zuge der objektivierten Betrachtungsweise von der grundsätzlichen "Validität" ( BGE 139 V 547 E. 8.1 S. 563) der die materielle Beweislast tragenden versicherten Person auszugehen sei ( BGE 141 V 281 E. 3.7.2 S. 295 f., E. 6 S. 308). Unter der früheren Praxis erfolgte Rentenablehnungen erscheinen daher aus der heutigen Perspektive nicht ohne Weiteres als rechtswidrig, sachfremd oder schlechterdings nicht vertretbar. Der Gesichtspunkt der gesetzmässigen und sachlich vertretbaren Durchführung der Versicherung (vgl. BGE 115 V 308 E. 4b S. 316) verlangt deshalb nicht, vom Grundsatz der Nichtanpassung an eine geänderte Rechtspraxis abzuweichen (vgl. auch BGE 135 V 201 E. 7.2.1 S. 213). Erhebliche Gründe, die einen gegenteiligen Schluss zuliessen, werden nicht geltend gemacht und sind auch nicht ersichtlich. Nach dem Gesagten stellt die neue Rechtsprechung zu den somatoformen Schmerzstörungen bzw. äquivalenten Beschwerdebildern für sich allein keinen Neuanmeldungs- bzw. Revisionsgrund dar (vgl. ebenso: GÄCHTER/MEIER, a.a.O., S. 21 Rz. 102-104; IV-Rundschreiben des Bundesamtes für Sozialversicherungen Nr. 334 vom 7. Juli 2015 S. 2 Ziff. 4b). Grund für eine Neuanmeldung - bei der die Revisionsregeln analog anwendbar sind ( Art. 17 ATSG ; BGE 134 V 131 E. 3 S. 132; BGE 117 V 198 E. 3a) - wäre somit allemal eine Änderung der tatsächlichen Verhältnisse ( BGE 141 V 9 E. 2.3 S. 10; BGE 130 V 343 E. 3.5 S. 349), die hier aber gerade nicht vorliegt (nicht publ. E. 4). Ob ein rechtskräftig beurteilter, unveränderter Sachverhalt BGE 141 V 585 S. 589 nach einer neuen Rechtsprechung rechtlich anders eingeordnet würde, spielt demgegenüber keine Rolle.</w:t>
      </w:r>
    </w:p>
    <w:p>
      <w:r>
        <w:rPr>
          <w:b/>
        </w:rPr>
        <w:t>E. 5.4</w:t>
      </w:r>
    </w:p>
    <w:p>
      <w:r>
        <w:t>Die neue Rechtsprechung bildet auch keinen Wiedererwägungsgrund nach Art. 53 Abs. 2 ATSG (vgl. Urteil 9C_513/2008 vom 23. März 2009 E. 3, in: SJ 2010 I S. 32; MEYER/REICHMUTH, a.a.O., N. 67 zu Art. 30-31 IVG ; IV-Rundschreiben Nr. 334, a.a.O., S. 2 Ziff.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