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530</w:t>
      </w:r>
    </w:p>
    <w:p>
      <w:r>
        <w:t>Bundesgericht (BGE), 2015-09-11, FR</w:t>
      </w:r>
    </w:p>
    <w:p>
      <w:r>
        <w:rPr>
          <w:b/>
        </w:rPr>
        <w:t xml:space="preserve">Quelle: </w:t>
      </w:r>
      <w:r>
        <w:t>https://mcp.opencaselaw.ch/entscheid/bge_BGE_141_V_530</w:t>
      </w:r>
    </w:p>
    <w:p>
      <w:r>
        <w:t>FR: ATF 141 V 530</w:t>
      </w:r>
    </w:p>
    <w:p>
      <w:r>
        <w:t>IT: DTF 141 V 530</w:t>
      </w:r>
    </w:p>
    <w:p>
      <w:pPr>
        <w:pStyle w:val="Heading2"/>
      </w:pPr>
      <w:r>
        <w:t>Regeste</w:t>
      </w:r>
    </w:p>
    <w:p>
      <w:r>
        <w:t>Regeste a Art. 39 Abs. 1 IVG; Art. 42 AHVG; Art. 23 ff. ZGB; Art. 13 ATSG; Begriff des Wohnsitzes und des gewöhnlichen Aufenthalts. Das Recht auf eine ausserordentliche Invalidenrente setzt kumulativ Wohnsitz und gewöhnlichen Aufenthalt in der Schweiz voraus. Unterscheidung des Begriffs Wohnsitz im Sinne von Art. 13 Abs. 1 ATSG und Art. 23 Abs. 1 erster Satz ZGB und desjenigen des gewöhnlichen Aufenthalts im Sinne von Art. 13 Abs. 2 ATSG (E. 5).</w:t>
      </w:r>
    </w:p>
    <w:p>
      <w:r>
        <w:t>Regeste b Art. 39 Abs. 1 IVG; Art. 42 AHVG; Art. 8 und Anhang II FZA; Art. 7, 70 und Anhang X der Verordnung (EG) Nr. 883/2004; Export einer ausserordentlichen Invalidenrente. Die ausserordentliche Invalidenrente ist eine besondere beitragsunabhängige Geldleistung im Sinne von Art. 70 der Verordnung (EG) Nr. 883/2004. Sie untersteht nicht dem Prinzip des Leistungsexports gemäss Art. 7 der Verordnung (EG) Nr. 883/2004 (E. 7).</w:t>
      </w:r>
    </w:p>
    <w:p>
      <w:r>
        <w:t>Regeste a Art. 39 al. 1 LAI; art. 42 LAVS; art. 23 ss CC; art. 13 LPGA; notions de domicile et de résidence habituelle. Le droit à une rente extraordinaire de l'assurance-invalidité est subordonné à la double condition du domicile et de la résidence habituelle en Suisse. Distinction entre la notion de domicile au sens des art. 13 al. 1 LPGA et 23 al. 1, 1 re phrase, CC et celle de résidence habituelle au sens de l'art. 13 al. 2 LPGA (consid. 5).</w:t>
      </w:r>
    </w:p>
    <w:p>
      <w:r>
        <w:t>Regeste b Art. 39 al. 1 LAI; art. 42 LAVS; art. 8 et Annexe II ALCP; art. 7, 70 et Annexe X du Règlement (CE) n° 883/2004; exportation de la rente extraordinaire de l'assurance-invalidité. La rente extraordinaire de l'assurance-invalidité est une prestation spéciale en espèces à caractère non contributif au sens de l'art. 70 du Règlement (CE) n° 883/2004. Elle n'est pas soumise au principe de l'exportation des prestations tel qu'il est défini à l'art. 7 du Règlement (CE) n° 883/2004 (consid. 7).</w:t>
      </w:r>
    </w:p>
    <w:p>
      <w:r>
        <w:t>Regesto a Art. 39 cpv. 1 LAI; art. 42 LAVS; art. 23 segg. CC; art. 13 LPGA; nozioni di domicilio e dimora abituale. Il diritto a una rendita straordinaria dell'assicurazione invalidità è subordinata alla doppia condizione del domicilio e della dimora abituale in Svizzera. Differenza tra la nozione di domicilio a norma degli art. 13 cpv. 1 LPGA e 23 cpv. 1 prima frase CC e quella di dimora abituale a norma dell'art. 13 cpv. 2 LPGA (consid. 5).</w:t>
      </w:r>
    </w:p>
    <w:p>
      <w:r>
        <w:t>Regesto b Art. 39 cpv. 1 LAI; art. 42 LAVS; art. 8 e Allegato II ALC; art. 7, 70 e Allegato X del Regolamento (CE) n. 883/2004; esportazione di una rendita straordinaria dell'assicurazione invalidità. Una rendita straordinaria dell'assicurazione invalidità è una prestazione speciale in denaro di carattere non contributivo a norma dell'art. 70 del Regolamento (CE) n. 883/2004. Essa non è soggetta al principio dell'esportazione delle prestazioni nel senso previsto dall'art. 7 del Regolamento (CE) n. 883/2004 (consid. 7).</w:t>
      </w:r>
    </w:p>
    <w:p>
      <w:pPr>
        <w:pStyle w:val="Heading2"/>
      </w:pPr>
      <w:r>
        <w:t>Erwägungen</w:t>
      </w:r>
    </w:p>
    <w:p>
      <w:r>
        <w:rPr>
          <w:b/>
        </w:rPr>
        <w:t>E. 2</w:t>
      </w:r>
    </w:p>
    <w:p>
      <w:r>
        <w:t>Le litige a pour objet le droit de la recourante à une rente extraordinaire de l'assurance-invalidité à compter du 1 er novembre 2012. Le jugement entrepris expose de manière complète les règles légales de droit interne ( art. 39 al. 1 LAI en corrélation avec l' art. 42 LAVS ) et la jurisprudence relatives à cette prestation, de sorte qu'il suffit d'y renvoyer.</w:t>
      </w:r>
    </w:p>
    <w:p>
      <w:r>
        <w:rPr>
          <w:b/>
        </w:rPr>
        <w:t>E. 3</w:t>
      </w:r>
    </w:p>
    <w:p>
      <w:r>
        <w:t>La juridiction cantonale a dénié à la recourante le droit à une rente extraordinaire de l'assurance-invalidité. Elle a constaté en premier lieu que les dispositions de l'Accord du 21 juin 1999 entre la Confédération suisse, d'une part, et la Communauté européenne et ses Etats membres, d'autre part, sur la libre circulation des personnes (ALCP; RS 0.142.112.681) n'exigeaient pas de la Suisse qu'elle exportât les rentes extraordinaires de l'assurance-invalidité suisse si leur bénéficiaire résidait dans un Etat de l'Union européenne. Examinant dans un second temps si la recourante avait néanmoins son domicile et sa résidence habituelle en Suisse depuis le 1 er février 2012, la juridiction cantonale a considéré que le centre de ses relations personnelles se situait en France, pays de la résidence effective de ses parents et dans lequel elle passait tous ses week-end. Le fait que la recourante et ses parents souhaitaient qu'elle s'établît en interne au foyer G. ne suffisait pas pour constituer un domicile ou un lieu de résidence habituelle en Suisse, dès lors que la recourante n'y passait, en l'état, que la journée. Finalement, la juridiction cantonale a estimé que la recourante ne pouvait se prévaloir du principe de la bonne foi pour obtenir une rente extraordinaire de l'assurance-invalidité, en se fondant sur le fait qu'elle avait obtenu précédemment une allocation pour impotent. Les décisions rendues par l'office intimé étaient en effet fondées sur une "domiciliation artificielle de l'assurée à Genève", organisée par ses parents avec la collaboration de sa co-curatrice. L'attente ou l'espérance que l'octroi de cette prestation était susceptible d'éveiller chez les parents de l'assurée n'était BGE 141 V 530 S. 534 pas légitime, car ils ne pouvaient ignorer que la condition du domicile n'était pas réalisée. S'ils avaient pensé de bonne foi que leur fille était valablement domiciliée en Suisse, ils n'auraient pas éprouvé le besoin de tenter de démontrer qu'elle résidait effectivement chez ses curatrices successives, ce qui n'était manifestement pas le cas.</w:t>
      </w:r>
    </w:p>
    <w:p>
      <w:r>
        <w:rPr>
          <w:b/>
        </w:rPr>
        <w:t>E. 4</w:t>
      </w:r>
    </w:p>
    <w:p>
      <w:r>
        <w:t>Eu égard à la nature du litige, il convient tout d'abord d'examiner si la recourante a désormais son domicile et sa résidence habituelle en Suisse. Dans la négative, il s'agira alors d'examiner si la recourante peut se prévaloir des dispositions de l'ALCP pour fonder un droit au versement d'une rente extraordinaire de l'assurance-invalidité.</w:t>
      </w:r>
    </w:p>
    <w:p>
      <w:r>
        <w:rPr>
          <w:b/>
        </w:rPr>
        <w:t>E. 5.1</w:t>
      </w:r>
    </w:p>
    <w:p>
      <w:r>
        <w:t>Conformément à l' art. 42 al. 1 LAVS (en corrélation avec l' art. 39 al. 1 LAI ), les ressortissants suisses qui ont leur domicile et leur résidence habituelle ( art. 13 LPGA ; RS 830.1)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Ce droit revient également à leurs survivants. En vertu de l' art. 13 LPGA , le domicile correspond au domicile civil selon les art. 23 à 26 CC (al. 1), tandis que la résidence habituelle correspond au lieu où la personne concernée séjourne un certain temps même si la durée de ce séjour est d'emblée limitée (al. 2; sur le caractère autonome de ces deux notions, voir UELI KIESER, ATSG-Kommentar, 2 e éd. 2009, n os 13 ss ad art. 13 LPGA ; voir également le Rapport du 27 septembre 1990 de la Commission du Conseil des Etats sur l'initiative parlementaire "Partie générale du droit des assurances sociales" [FF 1991 II 181, 245 ch. 41] et le Rapport du 26 mars 1999 de la Commission duConseil national de la sécurité sociale et de la santé sur l'initiative parlementaire "Droit des assurances sociales" [FF 1999 4168, 4198 ch. 52]).</w:t>
      </w:r>
    </w:p>
    <w:p>
      <w:r>
        <w:rPr>
          <w:b/>
        </w:rPr>
        <w:t>E. 5.2</w:t>
      </w:r>
    </w:p>
    <w:p>
      <w:r>
        <w:t>Au sens des art. 13 al. 1 LPGA et 23 al. 1, 1 re phrase, CC, le domicile civil de toute personne est au lieu où elle réside avec l'intention de s'y établir. La notion de domicile contient deux éléments: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BGE 141 V 530 S. 535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 art. 16 CC . Cette exigence ne doit pas être appréciée de manière trop sévère ( ATF 127 V 237 consid. 2c p. 240) et peut être remplie par des personnes présentant une maladie mentale, dans la mesure où leur état leur permet de se former une volonté (arrêt du Tribunal fédéral des assurances I 282/91 du 21 octobre 1992 consid. 2a).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 ATF 136 II 405 consid. 4.3 p. 409 et les références). Aux termes de l'art. 23 al. 1, 2 e phrase, CC, le séjour dans une institution de formation ou le placement dans un établissement d'éducation, un home, un hôpital ou une maison de détention ne constitue en soi pas le domicile. Lors du placement dans un établissement par des tiers, on devra donc exclure régulièrement la création d'un domicile à cet endroit, l'installation dans l'établissement relevant de la volonté de tiers et non de celle de l'intéressé. Il en va en revanche autrement lorsqu'une personne majeure et capable de discernement décide de son plein gré, c'est-à-dire librement et volontairement, d'entrer dans un établissement pour une durée illimitée et choisit par ailleurs librement l'établissement ainsi que le lieu de séjour. Dans la mesure où, lors de l'entrée dans un établissement qui survient dans ces circonstances, le centre de l'existence est déplacé en ce lieu, un nouveau domicile y est constitué. L'entrée dans un établissement doit aussi être considérée comme le résultat d'une décision volontaire et libre lorsqu'elle est dictée par "la force des choses" (Zwang der Umstände), tel le fait de dépendre d'une assistance ou d'avoir des difficultés financières ( ATF 134 V 236 consid. 2.1 p. 239 et la référence).</w:t>
      </w:r>
    </w:p>
    <w:p>
      <w:r>
        <w:rPr>
          <w:b/>
        </w:rPr>
        <w:t>E. 5.3</w:t>
      </w:r>
    </w:p>
    <w:p>
      <w:r>
        <w:t>Par résidence habituelle au sens de l' art. 13 al. 2 LPGA , il convient de comprendre la résidence effective en Suisse ("der tatsächliche Aufenthalt") et la volonté de conserver cette résidence; le centre de toutes les relations de l'intéressé doit en outre se situer en Suisse BGE 141 V 530 S. 536 ( ATF 119 V 111 consid. 7b p. 117 et la référence).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lorsque ils ne dépassent pas le cadre de ce qui est généralement admis et qu'ils reposent sur des raisons valables (visite, vacances, affaires, cure, formation); leur durée ne saurait dépasser une année, étant précisé qu'une telle durée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 ATF 111 V 180 consid. 4 p. 182; voir également arrêt 9C_729/2014 du 16 avril 2015 consid. 3).</w:t>
      </w:r>
    </w:p>
    <w:p>
      <w:r>
        <w:rPr>
          <w:b/>
        </w:rPr>
        <w:t>E. 5.4</w:t>
      </w:r>
    </w:p>
    <w:p>
      <w:r>
        <w:t>Au regard des circonstances de la présente affaire, il n'y a pas lieu de considérer que la recourante a son domicile civil et sa résidence habituelle en Suisse pour la période du 1 er novembre 2012 au 14 mai 2014, seule déterminante en l'espèce. Les démarches entreprises par les parents de la recourante afin de lui constituer un nouveau domicile civil en Suisse n'y changent rien. Certes a-t-il été procédé au dépôt des papiers le 1 er février 2012 auprès de l'Office cantonal de la population. Cet élément ne constituait toutefois qu'un indice (cf. ATF 125 III 100 consid. 3 p. 102), insuffisant en l'espèce à établir la volonté de la recourante de faire de la Suisse le centre de ses relations personnelles. A la lumière des faits retenus par la juridiction cantonale (consid. 10 du jugement attaqué), lesquels n'ont pas été remis en cause dans le cadre du présent recours, il convient de constater que la situation concrète de la recourante ne s'est pas modifiée entre celle qui prévalait avant sa majorité et celle qui avait cours jusqu'au 14 mai 2014, date de la décision administrative litigieuse: la recourante a continué, après comme avant, à passer les jours de la semaine dans l'institution - choisie par ses parents - qui l'a accueillie en Suisse et ses nuits - à quelques exceptions près - ainsi que ses week-ends chez ses parents en France. D'un point de vue objectif, on ne saurait y voir la manifestation, reconnaissable BGE 141 V 530 S. 537 pour les tiers, de la volonté de la recourante de déplacer le centre de ses intérêts; le lieu de résidence effective de ses parents, lieu où la recourante dormait, passait son temps libre et laissait ses effets personnels (arrêt du Tribunal fédéral des assurances K 34/04 du 2 août 2005 consid. 3, in SVR 2006 KV n° 12 p. 38; voir également CHRISTIAN BRÜCKNER, Das Personenrecht des ZGB, 2000, p. 92 n. 319 ss), demeurait l'endroit avec lequel ses liens personnels étaient les plus intenses. Il importe à cet égard peu que la recourante passait la majeure partie de son temps éveillé au Centre de jour du foyer G. C'est également pour les mêmes raisons qu'il faut considérer que la résidence habituelle de la recourante se situait en France. Le point de savoir si le changement de domicile de la mère de l'assurée en octobre 2014 est susceptible de modifier ce résultat n'a pas à être examiné, seules les circonstances prévalant jusqu'à la date de la décision administrative litigieuse étant déterminantes.</w:t>
      </w:r>
    </w:p>
    <w:p>
      <w:r>
        <w:rPr>
          <w:b/>
        </w:rPr>
        <w:t>E. 5.5</w:t>
      </w:r>
    </w:p>
    <w:p>
      <w:r>
        <w:t>C'est également en vain que la recourante allègue que la mise sous curatelle de portée générale prononcée par le Tribunal de protection de l'adulte et de l'enfant de la République et canton de Genève aurait fondé un domicile civil dans ce canton en vertu de l' art. 26 CC . La jurisprudence a en effet précisé que la mise sous tutelle ne crée pas un domicile au siège de l'autorité tutélaire, s'il n'en existait pas déjà un avant la mesure tutélaire ( ATF 135 V 249 consid. 4.4 p. 253). Ce principe continue à s'appliquer après l'entrée en vigueur, au 1 er janvier 2013, des nouvelles dispositions sur la protection de l'adulte, singulièrement lorsqu'est instituée une curatelle de portée générale.</w:t>
      </w:r>
    </w:p>
    <w:p>
      <w:r>
        <w:rPr>
          <w:b/>
        </w:rPr>
        <w:t>E. 6.1</w:t>
      </w:r>
    </w:p>
    <w:p>
      <w:r>
        <w:t>La recourante fait encore valoir une violation du principe de la bonne foi. Elle estime que la décision rendue le 25 avril 2013 en matière d'allocation pour impotent par l'office intimé était de nature à faire croire qu'une décision similaire concernant l'octroi d'une rente extraordinaire de l'assurance-invalidité allait suivre. Ses parents n'étaient pas en mesure de se rendre compte que cette décision n'était peut-être pas fondée en droit, ce d'autant que l'office intimé n'avait jamais prétendu qu'il n'était pas compétent pour la rendre. Or c'est sur la foi de cette décision que ses parents avaient décidé le maintien de son placement au foyer G., leur occasionnant ainsi des frais de pension qu'ils pensaient pouvoir couvrir avec la rente extraordinaire de l'assurance-invalidité. BGE 141 V 530 S. 538</w:t>
      </w:r>
    </w:p>
    <w:p>
      <w:r>
        <w:rPr>
          <w:b/>
        </w:rPr>
        <w:t>E. 6.2</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636 et les références).</w:t>
      </w:r>
    </w:p>
    <w:p>
      <w:r>
        <w:rPr>
          <w:b/>
        </w:rPr>
        <w:t>E. 6.3</w:t>
      </w:r>
    </w:p>
    <w:p>
      <w:r>
        <w:t>En l'occurrence, la recourante n'a reçu aucune assurance concrète de la part de l'office intimé quant à l'issue de sa demande de rente extraordinaire de l'assurance-invalidité. En tant qu'elle se prévaut des décisions rendues par le même office dans la procédure en matière d'allocation pour impotent, elle perd de vue que ces deux procédures sont parfaitement distinctes et indépendantes. Le droit à une prestation d'assurance sociale repose sur l'examen des conditions propres à l'octroi de cette prestation et est fondé sur les éléments du dossier constitué pour les besoins de la procédure. Les décisions des 17 et 25 avril 2013 se rapportent exclusivement aux conditions du droit à une allocation pour impotent et ne contiennent aucune référence à une autre prestation de l'assurance-invalidité; elles ne peuvent dès lors créer une expectative en ce qui concerne l'octroi d'une prestation différente de l'assurance-invalidité, dont le droit dépend (en partie) d'autres conditions que celles qui ont été examinées par l'administration en rapport avec l'allocation pour impotent. Du seul fait que l'intimé a mentionné le 1 er février 2012 comme date d'entrée en Suisse de la recourante dans la décision du 17 avril 2013, on ne peut déduire une promesse de l'administration quant à l'octroi d'une rente extraordinaire de l'assurance-invalidité. Le moyen soulevé est dès lors mal fondé.</w:t>
      </w:r>
    </w:p>
    <w:p>
      <w:r>
        <w:rPr>
          <w:b/>
        </w:rPr>
        <w:t>E. 7</w:t>
      </w:r>
    </w:p>
    <w:p>
      <w:r>
        <w:t>En l'absence de domicile en Suisse, il reste à examiner si la recourante peut déduire un droit à la prestation litigieuse des dispositions BGE 141 V 530 S. 539 de l'ALCP et des règlements communautaires auxquels il renvoie, dont les parties ne contestent pas l'application en l'espèce, sous l'angle des champs d'application personnel, matériel et temporel. A cet égard, la recourante se prévaut du principe de l'exportation des prestations en espèces de sécurité sociale, au sens de l'art. 7 du Règlement (CE) n° 883/2004 du Parlement européen et du Conseil du 29 avril 2004 portant sur la coordination des systèmes de sécurité sociale (RS 0.831.109.268.1; ci-après: règlement n° 883/2004). Elle soutient que la rente extraordinaire de l'assurance-invalidité constitue une prestation de la sécurité sociale au sens de l' art. 3 par. 1 let . c du règlement n° 883/2004, de sorte qu'elle est soumise au principe de l'exportation. Le fait qu'elle a été inscrite par la Suisse dans la liste des prestations spéciales en espèces à caractère non contributif (Annexe X du règlement n° 883/2004) ne serait pas déterminant, compte tenu de la jurisprudence de la Cour de justice de l'Union européenne.</w:t>
      </w:r>
    </w:p>
    <w:p>
      <w:r>
        <w:rPr>
          <w:b/>
        </w:rPr>
        <w:t>E. 7.1.1</w:t>
      </w:r>
    </w:p>
    <w:p>
      <w:r>
        <w:t>Sous le titre "Levée des clauses de résidence", l'art. 7 du règlement n° 883/2004 prévoit que les prestations en espèces dues en vertu de la législation d'un ou de plusieurs Etats membres ou du présent règlement ne peuvent faire l'objet, à moins que le présent règlement n'en dispose autrement, d'aucune réduction, modification, suspension, suppression ou confiscation du fait que le bénéficiaire ou les membres de sa famille résident dans un Etat membre autre que celui où se trouve l'institution débitrice.</w:t>
      </w:r>
    </w:p>
    <w:p>
      <w:r>
        <w:rPr>
          <w:b/>
        </w:rPr>
        <w:t>E. 7.1.2</w:t>
      </w:r>
    </w:p>
    <w:p>
      <w:r>
        <w:t>Cette disposition correspond en substance à l'art. 10 par. 1 du Règlement (CEE) n° 1408/71 du Conseil du 14 juin 1971 relatif à l'application des régimes de sécurité sociale aux travailleurs salariés, aux travailleurs non salariés et aux membres de leur famille qui se déplacent à l'intérieur de la Communauté (RO 2004 121; ci-après: règlement n° 1408/71), lequel était applicable jusqu'au 31 mars 2012 dans les relations entre la Suisse et les Etats membres de l'Union européenne (cf. ATF 138 V 533 consid. 2.1 p. 535). Selon l'interprétation qu'a donnée la Cour de justice des Communautés européennes (CJCE, devenue entre-temps la Cour de justice de l'Union européenne) de l'art. 10 par. 1 du règlement n° 1408/71, le principe de la levée des clauses de résidence implique non seulement que la personne intéressée conserve le droit de bénéficier des pensions, rentes et allocations acquises en vertu de la législation de l'un ou de plusieurs Etats membres même après avoir fixé sa résidence dans un BGE 141 V 530 S. 540 autre Etat membre, mais également qu'on ne puisse lui refuser l'acquisition d'un tel droit pour la seule raison qu'elle ne réside pas sur le territoire de l'Etat où se trouve l'institution débitrice (p. ex. arrêts de la CJCE du 10 juin 1982 92/81 Camera , Rec. 1982 p. 2214 point 14; du 20 juin 1991 C-356/89 Newton , Rec. 1991 I-3035 point 23; du 6 juillet 2000 C-73/99 Movrin , Rec. 2000 I-5636 point 32 s.). Le Tribunal fédéral a précisé que la levée des clauses de résidence prévue par le droit communautaire conduit dans son résultat à mettre sur un pied d'égalité les territoires des Etats membres en ce qui concerne le droit aux prestations ( ATF 130 V 145 consid. 4.1 p. 147). En vertu de ce principe, les prestations en espèces doivent par conséquent être exportées dans l'Etat (membre de l'Union européenne) où réside le bénéficiaire ou les membres de sa famille (GÄCHTER/BURCH, Nationale und internationale Rechtsquellen, in Recht der sozialen Sicherheit, 2014, p. 37 ch. 1.108).</w:t>
      </w:r>
    </w:p>
    <w:p>
      <w:r>
        <w:rPr>
          <w:b/>
        </w:rPr>
        <w:t>E. 7.2.1</w:t>
      </w:r>
    </w:p>
    <w:p>
      <w:r>
        <w:t>Selon l'art. 70 par. 1 et 3 du règlement n° 883/2004, l'art. 7 du règlement n° 883/2004 et les autres chapitres du Titre III du règlement n° 883/2004 ne s'appliquent pas aux "prestations spéciales en espèces à caractère non contributif" relevant d'une législation qui, de par son champ d'application personnel, ses objectifs et/ou ses conditions d'éligibilité, possède les caractéristiques à la fois de la législation en matière de sécurité sociale (art. 3 par. 1 du règlement n° 883/2004) et d'une assistance sociale. En vertu de l'art. 70 par. 4 du règlement n° 883/2004, ces prestations sont octroyées exclusivement dans l'Etat membre dans lequel la personne intéressée réside et conformément à sa législation; ces prestations sont servies par l'institution du lieu de résidence et à sa charge.</w:t>
      </w:r>
    </w:p>
    <w:p>
      <w:r>
        <w:rPr>
          <w:b/>
        </w:rPr>
        <w:t>E. 7.2.2</w:t>
      </w:r>
    </w:p>
    <w:p>
      <w:r>
        <w:t>Aux termes de l'art. 70 par. 2 du règlement n° 883/2004, on entend par "prestations spéciales en espèces à caractère non contributif" les prestations: a) qui sont destinées: i) soit à couvrir à titre complémentaire, subsidiaire ou de remplacement, les risques correspondant aux branches de sécurité sociale visées à l'art. 3, par. 1, et à garantir aux intéressés un revenu minimal de subsistance eu égard à l'environnement économique et social dans l'Etat membre concerné, ii) soit uniquement à assurer la protection spécifique des personnes handicapées, étroitement liées à l'environnement social de ces personnes dans l'Etat membre concerné; et BGE 141 V 530 S. 541 b) qui sont financées exclusivement par des contributions fiscales obligatoires destinées à couvrir des dépenses publiques générales et dont les conditions d'attribution et modalités de calcul ne sont pas fonction d'une quelconque contribution pour ce qui concerne leurs bénéficiaires. Les prestations versées à titre de complément d'une prestation contributive ne sont toutefois pas considérées, pour ce seul motif, comme des prestations contributives; et c) qui sont énumérées à l'annexe X.</w:t>
      </w:r>
    </w:p>
    <w:p>
      <w:r>
        <w:rPr>
          <w:b/>
        </w:rPr>
        <w:t>E. 7.2.3</w:t>
      </w:r>
    </w:p>
    <w:p>
      <w:r>
        <w:t>Cette définition des prestations spéciales en espèces à caractère non contributif correspond à l'art. 4 par. 2 bis du règlement n° 1408/ 71, tel qu'il avait été modifié par le Règlement (CE) n° 647/2005 du Parlement européen et du Conseil du 13 avril 2005 modifiant le règlement n° 1408/71 (JO L 117/1 du 4 mai 2005), et tient compte des principes posés en la matière par la CJCE dans ses arrêts rendus dans les affaires Friedrich Jauch contre Pensionsversicherungsanstalt der Arbeiter (arrêt du 8 mars 2001 C-215/99, Rec. 2001 I-1901) et Ghislain Leclere et Alina Deaconescu contre Caisse nationale des prestations familiales (arrêt du 31 mai 2001 C-43/99, Rec. 2001 I-4265). La CJCE était arrivée à la conclusion que l'art. 10 bis du règlement n° 1408/71, disposition qui permettait sous l'ancien droit de déroger au principe de l'exportation des prestations de sécurité sociale, devait être interprété "strictement", cette disposition ne pouvant viser que les prestations qui satisfaisaient aux conditions fixées à l'art. 4 par. 2 bis du même règlement, à savoir les prestations qui présentaient un caractère à la fois spécial et non contributif et qui étaient mentionnées à l'Annexe II bis dudit règlement (arrêt Jauch cité, point 21; cf. également ATF 132 V 423 consid. 9.4.2 p. 439; sur le développement de la jurisprudence de la CJCE relative à l'art. 4 bis du règlement n° 1408/71, voir JÜRGEN BESCHORNER, Die beitragsunabhängigen Geldleistungen im Sinne von Art. 4 Abs. 2a VO [EWG] Nr. 1408/ 71 in der Rechtsprechung des EuGH, ZESAR 2009 p. 321 ss).</w:t>
      </w:r>
    </w:p>
    <w:p>
      <w:r>
        <w:rPr>
          <w:b/>
        </w:rPr>
        <w:t>E. 7.3.1</w:t>
      </w:r>
    </w:p>
    <w:p>
      <w:r>
        <w:t>A teneur de la let. d de l'inscription de la Suisse à l'Annexe X du règlement n° 883/2004, constituent des prestations spéciales en espèces à caractère non contributif les rentes extraordinaires non contributives en faveur d'invalides qui n'ont pas été soumis, avant leur incapacité de travail, à la législation suisse sur la base d'une activité salariée ou non salariée (au sens de l' art. 39 LAI ).</w:t>
      </w:r>
    </w:p>
    <w:p>
      <w:r>
        <w:rPr>
          <w:b/>
        </w:rPr>
        <w:t>E. 7.3.2</w:t>
      </w:r>
    </w:p>
    <w:p>
      <w:r>
        <w:t>La mention des rentes extraordinaires de l'assurance-invalidité au titre de prestations spéciales en espèces à caractère non contributif BGE 141 V 530 S. 542 est nouvelle, puisqu'elle ne figurait pas dans l'annexe correspondante du règlement n° 1408/71 (Annexe II bis ). Dans le cadre de la mise à jour de l'Annexe II ALCP destinée à intégrer le système modernisé de coordination des systèmes de sécurité sociale applicable au sein de l'Union européenne (à savoir principalement le règlement n° 883/2004 et le Règlement [CE] n° 987/2009 du Parlementeuropéen et du Conseil du 16 septembre 2009 fixant les modalités d'application du règlement [CE] n° 883/2004 portant sur la coordination des systèmes de sécurité sociale[RS 0.831.109.268.11]),la Confédération suisse a expressément demandé, dans la mesure où la réglementation s'appliquerait désormais également aux personnes non actives, que les rentes extraordinaires de l'assurance-invalidité soient incluses dans la liste des prestations spéciales en espèces à caractère non contributif (Proposition de la Commission européenne, du 28 juin 2010, de décision du Conseil relative à la position à adopter au nom de l'Union européenne au sein du comité mixte institué par l'accord du 21 juin 1999 entre la Communauté européenne et ses Etats membres, d'une part, et la Confédération suisse, d'autre part, sur la libre circulation des personnes en ce qui concerne le remplacement de l'annexe II sur la coordination des systèmes de sécurité sociale, p. 5 ss, document consultable à l'adresse: www.eur-lex.europa.eu [n° CELEX 52010PC0333]).</w:t>
      </w:r>
    </w:p>
    <w:p>
      <w:r>
        <w:rPr>
          <w:b/>
        </w:rPr>
        <w:t>E. 7.3.3</w:t>
      </w:r>
    </w:p>
    <w:p>
      <w:r>
        <w:t>Afin de justifier sa position auprès des institutions européennes, la Confédération suisse a d'abord rappelé que pour pouvoir bénéficier d'une rente ordinaire de l'assurance-invalidité suisse, les personnes assurées devaient avoir versé des contributions pendant au moins trois ans au moment de la survenance de l'incapacité de travail. Les personnes handicapées depuis la naissance ou l'enfance ne pouvaient remplir cette condition, étant donné qu'elles étaient incapables de travailler avant d'atteindre l'âge à partir duquel les contributions étaient perçues. C'est pourquoi ces personnes avaient droit à une rente spéciale correspondant au montant de la rente d'invalidité ordinaire minimale. Cette rente était octroyée aux personnes de plus de 18 ans tant qu'elles vivaient en Suisse (proposition du 28 juin 2010 précitée, p. 8 et 9). Selon les explications données par la Confédération suisse, il se justifiait d'inclure la rente extraordinaire de l'assurance-invalidité dans la liste des prestations spéciales en espèces à caractère non contributif, parce qu'elle remplissait tous les critères requis pour être considérée comme une prestation spéciale à caractère non contributif BGE 141 V 530 S. 543 au sens de l'art. 4 par. 2 bis du règlement n° 1408/71 et de la jurisprudence de la CJCE y relative. Il s'agissait tout d'abord d'une prestation hybride (à caractère mixte): d'une part, elle présentait des caractéristiques propres à la sécurité sociale en ce sens que les intéressés avaient un droit clairement défini à cette prestation et qu'elle couvrait le risque d'invalidité; d'autre part, elle s'apparentait à l'assistance sociale, en ce qu'elle ne reposait pas sur des périodes d'activité ou de cotisation et qu'elle visait à atténuer un état de besoin en assurant un revenu minimal vital à un groupe socialement défavorisé (jeunes handicapés). La rente extraordinaire était ensuite une prestation spéciale, puisqu'elle constituait une allocation de remplacement destinée aux personnes qui ne remplissaient pas les conditions d'assurance pour obtenir une rente d'invalidité ordinaire; elle était étroitement liée au contexte socio-économique en Suisse, puisqu'elle correspondait à la pension minimale dans cet Etat. Enfin, la rente extraordinaire avait un caractère non contributif, parce qu'elle n'était pas financée par des contributions, mais exclusivement par la Confédération (proposition du 28 juin 2010 précitée, p. 8).</w:t>
      </w:r>
    </w:p>
    <w:p>
      <w:r>
        <w:rPr>
          <w:b/>
        </w:rPr>
        <w:t>E. 7.3.4</w:t>
      </w:r>
    </w:p>
    <w:p>
      <w:r>
        <w:t>La proposition de modification de l'Annexe II ALCP a été entérinée par le Conseil de l'Union européenne le 6 décembre 2010 (JO L 209/1 du 17 août 2011). La modification a formellement été adoptée par la décision n° 1/2012 du 31 mars 2012 du Comité mixte (institué par l'accord entre la Communauté européenne et ses Etats membres, d'une part, et la Confédération suisse, d'autre part, sur la libre circulation des personnes) remplaçant l'annexe II dudit accord sur la coordination des systèmes de sécurité sociale (RO 2012 2345 et JO L 103/51 du 13 avril 2012).</w:t>
      </w:r>
    </w:p>
    <w:p>
      <w:r>
        <w:rPr>
          <w:b/>
        </w:rPr>
        <w:t>E. 7.4</w:t>
      </w:r>
    </w:p>
    <w:p>
      <w:r>
        <w:t>En l'espèce, il n'existe aucun motif de s'écarter des considérations émises par la Suisse au cours des travaux préparatoires qui ont conduit à l'adoption de la décision n° 1/2012 du Comité mixte du 31 mars 2012 quant à la qualification de prestation spéciale en espèces à caractère non contributif de la rente extraordinaire d'invalidité non contributive en faveur d'invalides qui n'ont pas été soumis, avant leur incapacité de travail, à la législation suisse sur la base d'une activité salariée.</w:t>
      </w:r>
    </w:p>
    <w:p>
      <w:r>
        <w:rPr>
          <w:b/>
        </w:rPr>
        <w:t>E. 7.4.1</w:t>
      </w:r>
    </w:p>
    <w:p>
      <w:r>
        <w:t>C'est en vain que la recourante se réfère à un avis doctrinal selon lequel la rente extraordinaire de l'assurance-invalidité doit, faute de constituer une prestation complémentaire, subsidiaire ou de remplacement au sens de l'art. 70 par. 2 let. a point i du BGE 141 V 530 S. 544 règlement n° 883/2004 ou une prestation étroitement liée à l'environnement social de la personne handicapée au sens de l'art. 70 par. 2 let. a point ii du règlement n° 883/2004, être considérée comme une prestation d'invalidité au sens de l' art. 3 par. 1 let . c du règlement n° 883/2004 et être soumise au principe de l'exportation des prestations de sécurité sociale (PATRICIA USINGER-EGGER, Die Verordnung [EG] Nr. 883/2004 und deren Durchführungsverordnung, JaSo 2013 p. 103 s.).</w:t>
      </w:r>
    </w:p>
    <w:p>
      <w:r>
        <w:rPr>
          <w:b/>
        </w:rPr>
        <w:t>E. 7.4.2</w:t>
      </w:r>
    </w:p>
    <w:p>
      <w:r>
        <w:t>Contrairement à ce que soutient la recourante, la rente extraordinaire de l'assurance-invalidité remplit tous les critères pour qu'elle puisse être considérée comme une prestation spéciale à caractère non contributif au sens de l'art. 70 par. 2 let. a point i du règlement n° 883/2004. Dans la mesure où elle n'est allouée que lorsque le droit à une rente ordinaire de l'assurance-invalidité n'est pas ouvert faute pour la condition de la durée minimale de cotisation d'être remplie (MEYER/REICHMUTH, Bundesgesetz über die Invalidenversicherung [IVG], 3 e éd. 2014, n° 1 ad art. 39 LAI ), elle couvre, à titre de remplacement, le risque de l'invalidité ( art. 3 par. 1 let . c du règlement n° 883/2004; sur la notion de remplacement, voir aussi MAXIMILIAN FUCHS, in Europäisches Sozialrecht, 6 e éd. 2013, n° 11 ad art. 70 du règlement n° 883/2004), en permettant d'assurer, pour des considérations de nature économique et sociale, un revenu minimum aux personnes invalides de naissance ou depuis l'enfance qui n'ont jamais eu l'occasion de verser des cotisations jusqu'à l'ouverture du droit à la rente.</w:t>
      </w:r>
    </w:p>
    <w:p>
      <w:r>
        <w:rPr>
          <w:b/>
        </w:rPr>
        <w:t>E. 7.4.3</w:t>
      </w:r>
    </w:p>
    <w:p>
      <w:r>
        <w:t>Ainsi que l'a fait valoir la Suisse au cours des travaux préparatoires qui ont conduit à l'adoption de la décision n° 1/2012 du Comité mixte du 31 mars 2012 (proposition du 28 juin 2010 précitée, p. 9), la rente extraordinaire de l'assurance-invalidité n'est au demeurant pas sans présenter des similitudes avec la prestation servie au titre de la loi néerlandaise du 24 avril 1997 sur l'assurance contre l'incapacité de travail des jeunes handicapés ( Wet arbeidsongeschiktheidsvoorziening jonggehandicapten ; ci-après: la Wajong). A l'instar de la législation suisse, la Wajong néerlandaise prévoit le versement d'une prestation d'un niveau minimal aux jeunes qui sont déjà atteints d'une incapacité de travail totale ou partielle de longue durée avant leur entrée sur le marché du travail; la prestation ne peut être versée si le bénéficiaire ne réside pas aux Pays-Bas. Invitée à se prononcer sur la qualification à donner à cette prestation, la CJCE a jugé que la prestation servie au titre de la Wajong BGE 141 V 530 S. 545 devait être considérée comme une prestation spéciale à caractère non contributif au sens de l'art. 4 par. 2 bis du règlement n° 1408/71 (aujourd'hui: art. 70 par. 1 du règlement n° 883/2004), de sorte que seule la règle de coordination de l'art. 10 bis du règlement n° 1408/71 (dont le par. 1 correspond aujourd'hui à l'art. 70 par. 4 du règlement n° 883/2004) devait être appliquée et que ladite prestation ne pouvait bénéficier à quiconque résidait ailleurs qu'aux Pays-Bas. Elle a précisé que la prestation prévue par la Wajong était une allocation de remplacement destinée aux personnes qui ne remplissaient pas les conditions d'assurance pour obtenir une prestation d'invalidité au sens de l'art. 4 par. 1 let. b du règlement n° 1408/71 (aujourd'hui: art. 3 par. 1 let . c du règlement n° 883/2004). En assurant un revenu minimum à un groupe socialement faible (les jeunes handicapés), la prestation servie au titre de la Wajong présentait le caractère d'une aide sociale justifiée par des raisons économiques et sociales. Son octroi reposait, en outre, sur des critères objectifs définis par la loi. De plus, ladite prestation était étroitement liée au contexte socio-économique des Pays-Bas, puisqu'elle était fonction du salaire minimum et du niveau de vie dans cet Etat membre (arrêt de la CJCE du 6 juillet 2006 C-154/05 Kersbergen-Lap et Dams-Schipper , Rec. 2006 I-6251, confirmé par arrêt de la CJCE du 11 septembre 2007 C-287/05 Hendrix , Rec. 2007 I-6934).</w:t>
      </w:r>
    </w:p>
    <w:p>
      <w:r>
        <w:rPr>
          <w:b/>
        </w:rPr>
        <w:t>E. 7.5</w:t>
      </w:r>
    </w:p>
    <w:p>
      <w:r>
        <w:t>Il résulte des considérations qui précèdent que la rente extraordinaire de l'assurance-invalidité ne fait pas partie des prestations soumises au principe de la levée des clauses de résidence définie à l'art. 7 du règlement n° 883/2004. C'est donc en vain que la recourante invoque cette disposition conventionnelle pour en déduire un droit à la prestation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