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416</w:t>
      </w:r>
    </w:p>
    <w:p>
      <w:r>
        <w:t>Bundesgericht (BGE), 2015-01-01, DE</w:t>
      </w:r>
    </w:p>
    <w:p>
      <w:r>
        <w:rPr>
          <w:b/>
        </w:rPr>
        <w:t xml:space="preserve">Quelle: </w:t>
      </w:r>
      <w:r>
        <w:t>https://mcp.opencaselaw.ch/entscheid/bge_BGE_141_V_416</w:t>
      </w:r>
    </w:p>
    <w:p>
      <w:r>
        <w:t>FR: ATF 141 V 416</w:t>
      </w:r>
    </w:p>
    <w:p>
      <w:r>
        <w:t>IT: DTF 141 V 416</w:t>
      </w:r>
    </w:p>
    <w:p>
      <w:pPr>
        <w:pStyle w:val="Heading2"/>
      </w:pPr>
      <w:r>
        <w:t>Regeste</w:t>
      </w:r>
    </w:p>
    <w:p>
      <w:r>
        <w:t>Regeste Art. 1e BVV 2; Geltung der Grundsätze der beruflichen Vorsorge auch für Vorsorgeeinrichtungen mit freier Wahl der Anlagestrategien im rein überobligatorischen Bereich. Welche Zahl von Anlagestrategien pro Vorsorgeplan oder Vorsorgewerk eine Vorsorgeeinrichtung im Rahmen von Art. 1e BVV 2 anbieten darf, hat der Bundesrat nicht ziffernmässig festgelegt. Die Verordnungsbestimmung darf aber nicht durch exzessive Auslegung ausgehöhlt und auf diesem Weg der Grundsatz der Kollektivität ausser Kraft gesetzt werden. Sammelstiftungen mit vielen angeschlossenen Vorsorgewerken ist es verwehrt, ein derart grosses Angebot vorzusehen, dass die Kollektivität praktisch nicht mehr realistisch ist (E. 5.3). Auch Vorsorgelösungen mit frei gewählter Anlagestrategie haben die Angemessenheit der Vorsorge einzuhalten. Verlangt die Aufsichtsbehörde eine entsprechende Vorabprüfung jeder einzelnen Strategie durch den Experten, ist dies weder unangemessen noch sonst wie bundesrechtswidrig (E. 6.5).</w:t>
      </w:r>
    </w:p>
    <w:p>
      <w:r>
        <w:t>Regeste Art. 1e OPP 2; application des principes de la prévoyance professionnelle aux institutions de prévoyance avec libre choix des stratégies de placement actives uniquement dans le domaine de la prévoyance plus étendue. Le nombre de stratégies de placement que peut offrir une institution de prévoyance dans le cadre d'un même plan de prévoyance ou d'une même oeuvre de prévoyance au sens de l'art. 1e OPP 2 n'a pas été fixé précisément par le Conseil fédéral. Cette disposition réglementaire ne saurait toutefois être vidée de son contenu par le biais d'une interprétation extensive, avec pour effet de rendre inopérant le principe de la collectivité. Il est interdit aux institutions collectives auxquelles de nombreuses oeuvres de prévoyance sont affiliées de prévoir une offre tellement importante que le respect du principe de la collectivité n'apparaît plus réaliste (consid. 5.3). Les solutions de prévoyance avec libre choix de la stratégie de placement doivent également respecter le principe d'adéquation de la prévoyance. Le fait que l'autorité de surveillance exige un examen préalable de chaque stratégie de placement par l'expert en matière de prévoyance professionnelle n'est pas disproportionné ni de toute autre manière contraire au droit fédéral (consid. 6.5).</w:t>
      </w:r>
    </w:p>
    <w:p>
      <w:r>
        <w:t>Regesto Art. 1e OPP 2; validità dei principi della previdenza professionale anche per gli istituti di previdenza con libera scelta delle strategie d'investimento nel solo ambito della previdenza sovraobbligatoria. Il numero delle strategie d'investimento che può offrire un istituto di previdenza per ogni piano di previdenza o cassa di previdenza nell'ambito dell'art. 1e OPP 2 non è stato disciplinato in maniera precisa dal Consiglio federale. Questa disposizione regolamentare non può però essere svuotata dal suo contenuto con un'interpretazione estensiva, avente per effetto di rendere inoperante il principio della collettività. È fatto divieto alle fondazioni collettive con molte casse di previdenza affiliate di prevedere un'offerta così grande da rendere irrealistico il rispetto del principio della collettività (consid. 5.3). Anche le soluzioni di previdenza con libera scelta della strategia d'investimento devono rispettare il principio d'adeguatezza della previdenza. Il fatto che l'autorità di vigilanza esiga un esame preliminare di ogni strategia d'investimento ad opera del perito riconosciuto in materia di previdenza professionale non è sproporzionato né tanto meno contrario al diritto federale (consid. 6.5).</w:t>
      </w:r>
    </w:p>
    <w:p>
      <w:pPr>
        <w:pStyle w:val="Heading2"/>
      </w:pPr>
      <w:r>
        <w:t>Erwägungen</w:t>
      </w:r>
    </w:p>
    <w:p>
      <w:r>
        <w:rPr>
          <w:b/>
        </w:rPr>
        <w:t>E. 2.1</w:t>
      </w:r>
    </w:p>
    <w:p>
      <w:r>
        <w:t>Gemäss Art. 62 Abs. 1 BVG (in Verbindung mit Art. 62 Abs. 2 BVG und Art. 84 Abs. 2 ZGB ) hat die 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(einschliesslich Normen auf Verordnungsstufe) prüft (lit. a) und die Massnahmen zur Behebung von Mängeln trifft (lit. d). Die Aufsichtsbehörde verfügt über weitreichende Kompetenzen präventiver und repressiver Art ( BGE 140 V 348 E. 2.2 S. 350 mit Hinweisen).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140 V 348 E. 2.2 S. 350 mit Hinweisen).</w:t>
      </w:r>
    </w:p>
    <w:p>
      <w:r>
        <w:rPr>
          <w:b/>
        </w:rPr>
        <w:t>E. 2.2</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BGE 141 V 416 S. 419 und Art. 105 Abs. 1 BGG ; BGE 140 V 348 E. 2.3 S. 351 mit weiteren Verweisen).</w:t>
      </w:r>
    </w:p>
    <w:p>
      <w:r>
        <w:rPr>
          <w:b/>
        </w:rPr>
        <w:t>E. 3</w:t>
      </w:r>
    </w:p>
    <w:p>
      <w:r>
        <w:t>Streitig und zu prüfen ist, ob das Bundesverwaltungsgericht bei der von der Beschwerdeführerin gewählten individuellen Ausgestaltung der Anlagestrategien zu Recht die Vorab-Prüfung jeder einzelnen Strategie auf ihre Angemessenheit hin verlangt hat oder ob die Prüfung lediglich des Anlagemodells den gesetzlichen Anforderungen genügt.</w:t>
      </w:r>
    </w:p>
    <w:p>
      <w:r>
        <w:rPr>
          <w:b/>
        </w:rPr>
        <w:t>E. 3.1</w:t>
      </w:r>
    </w:p>
    <w:p>
      <w:r>
        <w:t>Die Vorinstanz stellte fest, gemäss Reglement sei eine individuelle Anlage pro Versicherten vorgesehen und es würden individuelle Wertschwankungsreserven gebildet. Sie erwog, damit werde die Kollektivität vollständig verlassen, weshalb die A-priori-Bestätigung eines Modells den rechtlichen Anforderungen nicht genüge. Bei vollständigem Einkauf oder von Anfang an vollständig geäufneten Altersguthaben und anschliessender Mitgabe der individuellen Wertschwankungsreserven würden beim Austritt des Versicherten die Limiten von Art. 1 Abs. 2 lit. a und Abs. 3 BVV 2 offensichtlich überschritten. Die reglementarischen Einkaufsbegrenzungen vermöchten ein Überschreiten des Leistungsziels nicht zu verhindern. Das reglementarische Modell der Beschwerdeführerin sei nicht bestätigungsfähig, soweit die Bestätigung vorab im Rahmen einer schematischen Prüfung erfolgen solle. Im Übrigen sei die Angemessenheitsprüfung kein unübertragbares und unentziehbares Recht des Stiftungsrates, sondern sie gehöre zu den Pflichten der Experten. Der Selbstständigkeitsbereich oder die Organisationsautonomie der Beschwerdeführerin seien daher nicht verletzt. Nachdem die Beschwerdegegnerin zu Recht festgestellt habe, die beiden Experten-Bestätigungen vom 24. Mai 2012 genügten den rechtlichen Vorgaben nicht, sei sie verpflichtet gewesen, eine aufsichtsrechtliche Massnahme zu ergreifen. Die in der Feststellungsverfügung vom 1. Mai 2012 in Aussicht gestellte Zulassung der umstrittenen Reglementsbestimmung unter der Voraussetzung, es werde jede einzelne Anlagestrategie individuell vom Experten bestätigt, sei notwendig, angemessen und verhältnismässig. Nur eine individuelle Prüfung jeder einzelnen Anlagestrategie gewährleiste, dass die - steuerlich begünstigte - berufliche Vorsorge nicht zur Erzielung von Vermögenserträgen eingesetzt werde, die nicht oder nicht allein der Fortsetzung der gewohnten Lebenshaltung dienten. Schliesslich unterscheide sich die Beschwerdeführerin von den "übrigen Stiftungen und Sammeleinrichtungen" dadurch, dass sie für jeden einzelnen BGE 141 V 416 S. 420 Versicherten ein individuelles Konto führe und individuelle Wertschwankungsreserven zuschreibe. Eine Verletzung des Gleichbehandlungsgebotes sei nicht ersichtlich, ebenso wenig eine Gehörsverletzung.</w:t>
      </w:r>
    </w:p>
    <w:p>
      <w:r>
        <w:rPr>
          <w:b/>
        </w:rPr>
        <w:t>E. 3.2</w:t>
      </w:r>
    </w:p>
    <w:p>
      <w:r>
        <w:t>Die Beschwerdeführerin rügt in verschiedener Hinsicht eine unrichtige Sachverhaltsfeststellung. In ihrer umfangreichen, zahlreiche Wiederholungen enthaltenden Beschwerdeschrift macht sie insbesondere geltend, die Vorinstanz verlange zu Unrecht tausende von Bestätigungen des Experten mit entsprechender Kostenfolge, ohne deren praktische Durchführbarkeit zu prüfen oder näher zu konkretisieren. Art. 1 Abs. 2 BVV 2 setze nur eine "modellmässige" Einhaltung der Angemessenheit voraus. Die vorinstanzlich geschützten Prüfanforderungen gemäss Feststellungsverfügung vom 1. Mai 2012 seien daher nicht nur unverhältnismässig, sondern widersprächen auch dem "pauschalen Ansatz", wonach es genüge, die aggressivste Anlagestrategie (mit einem Aktienanteil von 40 %) auf ihre Angemessenheit zu überprüfen, da die anderen Strategien in langfristiger Prognose generell geringere Erträge erwarten liessen. Indem der Experte bestätigt habe, ein Aktienanteil von 40 % könne zu einem - gesetzmässigen - Ertrag von 2 % über der durchschnittlichen Lohnentwicklung führen, sei den rechtlichen Anforderungen Genüge getan. Die von ihr vorgesehene pauschale Kontrolle mittels Begrenzung der Einkaufsmöglichkeiten, sobald die Rendite 2 % pro Jahr übersteige, und der Berücksichtigung eines "vorsichtigen" Umwandlungssatzes habe die Vorinstanz zu Unrecht für ungenügend erachtet. Eine Prüfung und Bestätigung pro Anlagestrategie sei ein Leerlauf und unterliege der irrigen Annahme, dass sich Renditen einigermassen zuverlässig voraussagen liessen, wozu aber selbst Experten nicht in der Lage seien. Würde von ihnen eine entsprechende Prognose verlangt, verstiesse dies gegen Art. 52e BVG . Im Übrigen habe das Portfeuille mit dem höchsten Aktienbestand während eines Zeitraums von 20 Jahren eine geringere Performance aufgewiesen als jenes mit einem durchschnittlichen Aktienanteil. Die Vorinstanz unterstelle ausgehend von einigen erfolgreichen Anlagejahren und einem vollständig geäufneten Altersguthaben - was beides realitätsfremde Vorgaben seien - zu Unrecht viel zu hohe Renditen. Die Forderung, das individuelle Altersguthaben der Versicherten sei um die Wertschwankungsreserve zu kürzen, verstosse gegen Art. 1e BVV 2 und Art. 15 Abs. 1 und 2 FZG (SR 831.42) und schliesslich sei das Prinzip der Kollektivität eingehalten. BGE 141 V 416 S. 421</w:t>
      </w:r>
    </w:p>
    <w:p>
      <w:r>
        <w:rPr>
          <w:b/>
        </w:rPr>
        <w:t>E. 4</w:t>
      </w:r>
    </w:p>
    <w:p>
      <w:r>
        <w:t>Die Rüge des fehlerhaft festgestellten Sachverhalts bedarf einer qualifizierten Begründung. Es reicht nicht aus, in allgemeiner Form Kritik zu üben,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 Soweit die Beschwerde diesen Anforderungen nicht genügt und sich auf Sachverhalte bezieht, die für die allein strittige Frage nach der Intensität der Angemessenheitskontrolle nicht entscheidrelevant sind, ist darauf nicht weiter einzugehen.</w:t>
      </w:r>
    </w:p>
    <w:p>
      <w:r>
        <w:rPr>
          <w:b/>
        </w:rPr>
        <w:t>E. 5.1</w:t>
      </w:r>
    </w:p>
    <w:p>
      <w:r>
        <w:t>Mit dem 3. Paket der 1. BVG-Revision ist erstmals die freie Wahl der Anlagestrategie im Gesetz verankert worden (vgl. auch HANS-ULRICH STAUFFER, Berufliche Vorsorge, 2. Aufl. 2012, Rz. 2152 ff., 2166). Vorsorgeeinrichtungen, die ausschliesslich Lohnanteile über dem vom Sicherheitsfonds garantierten Leistungsbereich versichern, können ihren Versicherten innerhalb eines Vorsorgeplans die Wahl zwischen unterschiedlichen Anlagestrategien ermöglichen ( Art. 1e BVV 2 ). Die in der beruflichen Vorsorge geltenden Gesetzes- und Verordnungsbestimmungen, so etwa die Regeln betreffend Sicherheit der Anlagen ( Art. 71 BVG ) und Berechnung der Austrittsleistung ( Art. 15 und 17 FZG ) sind dabei gleichermassen massgeblich wie bei den herkömmlichen Anlagen. Dies bedeutet, dass der Versicherte bei seinem Austritt (derzeit noch; vgl. aber Botschaft vom 11. Februar 2015 zu einer Änderung des Freizügigkeitsgesetzes [Ansprüche bei Wahl der Anlagestrategie durch die versicherte Person], BBl 2015 1793) auch dann Anspruch auf die nach den zwingenden gesetzlichen Vorschriften berechnete Austrittsleistung hat, wenn sein Guthaben aufgrund der selbstgewählten Anlagestrategie an Wert einbüsste. Das verbleibende Versichertenkollektiv hat mit anderen Worten das Anlagerisiko zu tragen, welches mit der vom Versicherten gewählten (möglicherweise risikoreichen) Anlagestrategie einhergeht, während er das Ertragspotenzial ausschöpfen und die aufgrund solcher Anlagestrategien erzielten Gewinne mitnehmen darf (vgl. Botschaft, a.a.O., 1794). BGE 141 V 416 S. 422</w:t>
      </w:r>
    </w:p>
    <w:p>
      <w:r>
        <w:rPr>
          <w:b/>
        </w:rPr>
        <w:t>E. 5.2</w:t>
      </w:r>
    </w:p>
    <w:p>
      <w:r>
        <w:t>Vorsorgelösungen nach Art. 1e BVV 2 müssen des Weiteren die Grundsätze der Angemessenheit, der Kollektivität, der Gleichbehandlung, der Planmässigkeit sowie das Versicherungsprinzip einhalten ( Art. 1 Abs. 3 BVG ; Urteil 2C_309/2007 vom 11. Dezember 2007 E. 3.1 mit Hinweisen). Es entspricht zwar einem generellen Trend in der beruflichen Vorsorge, Überlegungen eines individuellen Äquivalenzprinzips zu Lasten der Errungenschaften einer Solidargemeinschaft stärker zu gewichten (STAUFFER, a.a.O., Rz. 2060; beabsichtigte Ergänzung des FZG, vgl. vorangehende E. 5.1). Eine Vorsorgelösung, welche von allem Anfang an keine Kollektivität und Solidarität beabsichtigt, dient indes nicht der beruflichen Vorsorge, sondern der (individuellen) Selbstvorsorge. Diese ist nicht ausgeschlossen, sie kann aber nicht über eine Einrichtung der 2. Säule erfolgen ( BGE 120 Ib 199 E. 4b S. 205). Auch die 1. BVG-Revision hat nichts daran geändert, dass die Flexibilisierung im Bereich der zweiten Säule nur so weit gehen kann, als nicht an den kollektiven Grundsätzen des Systems gerüttelt wird (vgl. Machbarkeitsstudie zur freien Pensionskassenwahl, in: Beiträge zur Sozialen Sicherheit, Forschungsbericht 10/05, Ziff. 6.2.9 S. 164). In Nachachtung des Kollektivitätsprinzips darf eine Vorsorgeeinrichtung insbesondere nicht derart viele Strategien anbieten, dass daraus praktisch eine Individualisierung der Vorsorgeguthaben der einzelnen Versicherten (eine Strategie "ad personam") resultiert. Das BSV geht davon aus, bei Sammelstiftungen sei ein Angebot von fünf bis höchstens zehn Strategien pro Vorsorgewerk mit Art. 1e BVV 2 zu vereinbaren (Mitteilungen des BSV über die berufliche Vorsorge Nr. 125 vom 14. Dezember 2011, Rz. 813 S. 12).</w:t>
      </w:r>
    </w:p>
    <w:p>
      <w:r>
        <w:rPr>
          <w:b/>
        </w:rPr>
        <w:t>E. 5.3</w:t>
      </w:r>
    </w:p>
    <w:p>
      <w:r>
        <w:t>Die Beschwerdeführerin ging in einer ersten Besprechung mit der Beschwerdegegnerin von "etwa 100" anzubietenden Strategien aus und sah später ein Angebot vor, das nach ihren eigenen Angaben mehr als 3'300 bzw. 3'465 mögliche Strategien umfasste. Letztinstanzlich gab sie an, es sei von "ca. 1'000 bis 1'200 unterschiedlichen Anwendungsanlagestrategien" auszugehen. Mit Blick darauf, dass das BSV pro Vorsorgewerk bis zu zehn Strategien für zulässig erachtet, macht die Beschwerdeführerin geltend, bei 693 angeschlossenen Vorsorgewerken lägen die von ihr angebotenen Strategien innerhalb der zulässigen Grenzen. Welche Zahl von Strategien - pro Vorsorgeplan oder Vorsorgewerk - noch gesetzmässig ist, braucht hier nicht abschliessend geklärt zu BGE 141 V 416 S. 423 werden. Auch wenn der Bundesrat darauf verzichtet hat, die zulässigen Strategien in Art. 1e BVV 2 ziffernmässig festzulegen, darf die Verordnungsbestimmung jedenfalls nicht durch exzessive Auslegung ausgehöhlt und auf diesem Weg der Grundsatz der Kollektivität ausser Kraft gesetzt werden. Sammelstiftungen mit einer grossen Zahl angeschlossener Vorsorgewerke ist es somit - nicht anders als "normalen" Vorsorgeeinrichtungen - verwehrt, ein derart grosses Angebot vorzusehen, dass die Kollektivität nurmehr theoretisch möglich, aber praktisch nicht mehr realistisch ist (vgl. hiezu auch die zitierten Mitteilungen über die berufliche Vorsorge Nr. 125, Rz. 813: "Die Umsetzung [...] darf nicht so ausgestaltet werden, dass sie zu einer gänzlichen Individualisierung führen würde, also jegliche kollektiven Aspekte der Vorsorge abschaffen würde"). Selbst wenn die Aufnahme mehrerer Versicherten in dasselbe Kollektiv theoretisch offenstünde, ist bei hunderten oder gar tausenden möglicher Strategien weitgehend unrealistisch, dass mehrere Versicherte dieselbe Strategie wählen. Wie die Vorinstanz zutreffend erwog, wird damit das Feld der Kollektivität vollständig verlassen. Weil sich die Anfechtungsobjekt bildende (Feststellungs-)Verfügung vom 1. Mai 2012 indes auf die Frage beschränkte, ob für jede einzelne der individuell wählbaren Anlagestrategien eine Vorabkontrolle der Angemessenheit mit einer Performanceprognose vorzunehmen ist oder nicht, ist auf entsprechende Folgen nicht weiter einzugehen und eine endgültige Beurteilung erübrigt sich.</w:t>
      </w:r>
    </w:p>
    <w:p>
      <w:r>
        <w:rPr>
          <w:b/>
        </w:rPr>
        <w:t>E. 6.1</w:t>
      </w:r>
    </w:p>
    <w:p>
      <w:r>
        <w:t>Die Beschwerdeführerin sieht in ihrem Reglement vier Grundstrategien vor, die sich durch unterschiedliche Anteile an Aktien und "Alternativanlagen" unterscheiden. Innerhalb dieser Strategien sind gemäss Angaben der Beschwerdeführerin "unzählige Variationen" möglich, indem etwa Aktien und Alternativanlagen mit Immobilien und Obligationen variiert werden. Die Versicherten können "unter Berücksichtigung ihrer Risikobereitschaft und ihrer Risikofähigkeit die Anlagestrategie im Rahmen der Anlagevorschriften BVV 2 bzw. des Anlagereglements" auswählen (Ziff. 2.2 Reglement). Es werden persönliche Alterskonti geführt, welche unter anderem allfällige individuelle Schwankungsreserven ausweisen. Diesen werden alle Wertentwicklungen der gewählten Strategie gutgeschrieben oder belastet (Ziff. 7.1 Reglement).</w:t>
      </w:r>
    </w:p>
    <w:p>
      <w:r>
        <w:rPr>
          <w:b/>
        </w:rPr>
        <w:t>E. 6.2</w:t>
      </w:r>
    </w:p>
    <w:p>
      <w:r>
        <w:t>Eine günstige Performance der gewählten Strategie kann bei Vorsorgelösungen mit Wahlmöglichkeit der Anlagestrategie nach Art. 1e BVV 2 BGE 141 V 416 S. 424 ausnahmsweise bewirken, dass die Vorsorgeleistungen höher als gemäss Plan ausfallen. Das Angemessenheitsprinzip gebietet indes bei längerfristig guter Performance Anpassungen auf der Leistungsseite, um zu gewährleisten, dass die gesetzlichen Angemessenheitsgrenzen von Art. 1 BVV 2 wieder regelmässig eingehalten werden (vgl. Botschaft, a.a.O., 1799 f. Ziff. 1.4). Dies gilt selbstredend auch für eine Vorsorgeeinrichtung, welche im Rahmen der zweiten Säule gestützt auf Art. 1e BVV 2 (maximal) individualisierte Anlagestrategien anbietet. Zwar schreibt Art. 1 Abs. 3 BVV 2 die Angemessenheit lediglich des Berechnungsmodells und nicht der Berechnung im Einzelfall vor. Die Angemessenheit ist somit nicht unbedingt im individuellen Fall bei nachträglicher Prüfung ("a posteriori") einzuhalten. Vielmehr muss ein Vorsorgeplan von vornherein so konzipiert werden, dass die zu erwartenden Leistungen die gesetzlichen Bedingungen erfüllen. Dies gilt nicht nur für den konkreten Plan, sondern auch für allfällige Kombinationen verschiedener Pläne. Konkret erfolgt eine theoretische Berechnung des Leistungsziels anhand einer modellmässigen, auf fachlich anerkannten Grundsätzen basierenden Betrachtung (vgl. Mitteilungen des BSV über die berufliche Vorsorge Nr. 86 vom 31. Oktober 2005 S. 3 [Antworten zu den Fragen 4 und 5]).</w:t>
      </w:r>
    </w:p>
    <w:p>
      <w:r>
        <w:rPr>
          <w:b/>
        </w:rPr>
        <w:t>E. 6.3</w:t>
      </w:r>
    </w:p>
    <w:p>
      <w:r>
        <w:t>Mit Blick auf die weitestgehende Individualisierung der Anlagestrategien und den direkten Konnex zwischen Ertrag und Leistungshöhe kann sich die Beschwerdeführerin somit weder darauf berufen, bereits die Angemessenheitsprüfung ihrer vier Hauptmodelle erfülle die rechtlichen Vorgaben, noch vermag der von ihr postulierte pauschale Prüfansatz unter Berücksichtigung einer (hypothetischen) Performance von 2 % die Einhaltung der Angemessenheit rechtsgenüglich zu gewährleisten. Selbst wenn die Einkaufstabelle der Beschwerdeführerin eine gewisse Korrektur bewirkte, indem sich die Einkaufsmöglichkeiten reduzieren, sobald die Rendite die hypothetische Grösse von 2 % jährlich übersteigt, wird die Angemessenheit der Leistungen dadurch bereits deshalb nicht ausreichend sichergestellt, weil der Mechanismus von vornherein wirkungslos bleibt, sobald der Versicherte seine Einkaufsmöglichkeiten ausgeschöpft hat.</w:t>
      </w:r>
    </w:p>
    <w:p>
      <w:r>
        <w:rPr>
          <w:b/>
        </w:rPr>
        <w:t>E. 6.4</w:t>
      </w:r>
    </w:p>
    <w:p>
      <w:r>
        <w:t>Ungenügend ist sodann die Beschränkung der Prüfung auf die "aggressivste" Strategie mit dem höchsten Aktienanteil. Wie das BSV in seiner Vernehmlassung zutreffend ausführte, kann nicht generell gesagt werden, dass Aktien im Vergleich zu Investitionen in BGE 141 V 416 S. 425 Obligationen, Immobilien oder andere Werte unter allen Umständen eine höhere Performance ausweisen. Ob dies der Fall ist, hängt vielmehr von einer Vielzahl makro- und mikroökonomischer Faktoren ab, welche die starre 2%-Grenze der Beschwerdeführerin nicht abzubilden vermag. Dass die Prognose über eine zu erwartende Performance stets mit einer gewissen Unsicherheit behaftet ist, liegt in der Natur der Sache. Entgegen den Vorbringen der Beschwerdeführerin ist dies aber kein Grund, der gegen die Angemessenheitsprüfung jeder einzelnen Strategie spräche. Auch ausserhalb der beruflichen Vorsorge werden Vermögensanlagen mit vergleichbaren Anlagestrategien angeboten, welche für die prognostische Beurteilung der Angemessenheit einer Anlagestrategie der zweiten Säule herangezogen werden können (Botschaft, a.a.O., 1800 Ziff. 1.4). Zu Recht hat die Beschwerdegegnerin darauf hingewiesen, dass duFrchaus wissenschaftlich anerkannte Renditeerwartungsmodelle bestehen, welche eine realistischere Abschätzung der Performance erwarten lassen als die in der Beschwerde postulierte "reale hypothetische Anlageperformance" von 2 %, die nicht zuletzt ebenfalls auf einer prognostischen Beurteilung beruht. Eine lege artis, d.h. gestützt auf wissenschaftlich anerkannte Modelle durchgeführte Performanceprognose gehört sodann zu den Informationen, welche die versicherte Person bereits bei der Wahl der Strategie benötigt und auf die im Übrigen auch die Beschwerdeführerin selbst angewiesen ist, damit sie ihrer reglementarischen Pflicht nachkommen kann, die Versicherten individuell über die Chancen und Gefahren der gewünschten Anlagestrategien zu informieren (Ziff. 2.2 Anlagereglement). Eine Prognose über die Entwicklung der vier Grundstrategien reicht hiezu ebenso wenig aus wie die schematische Unterstellung einer Anlageperformance von 2 %.</w:t>
      </w:r>
    </w:p>
    <w:p>
      <w:r>
        <w:rPr>
          <w:b/>
        </w:rPr>
        <w:t>E. 6.5</w:t>
      </w:r>
    </w:p>
    <w:p>
      <w:r>
        <w:t>Wie weit im (nicht zuletzt auch steuerlich) privilegierten Rahmen der 2. Säule individuelle Spekulation zulässig sein soll und in welchem Rahmen es sich rechtfertigt, maximal individualisierte Vorsorgelösungen unter das Dach der beruflichen Vorsorge zu stellen, bleibe dahingestellt (vgl. E. 5.3). Individuelle Anlagemöglichkeiten entsprechen jedenfalls einem Bedürfnis und sind gesetzgeberisch gewollt. Die Flexibilität bei der Wahl von Anlagestrategien wird mit der angestrebten Änderung des Freizügigkeitsgesetzes hinsichtlich der Ansprüche der Versicherten bei selbst gewählter Anlagestrategie (E. 5.1 hievor) weiter steigen. Auch solche Vorsorgelösungen haben, wie dargelegt (vorangehende E. 5.2), die Grundsätze der beruflichen Vorsorge, insbesondere die Angemessenheit der Vorsorge, stets BGE 141 V 416 S. 426 einzuhalten. Wenn die Vorinstanz die von der Beschwerdegegnerin verlangte Vorabprüfung jeder einzeln Strategie durch den Experten (in Nachachtung seiner gesetzlichen Pflichten gemäss Art. 52e BVG [seit 1. Januar 2012; bis 31. Dezember 2011: aArt. 53 Abs. 2 BVG]) geschützt hat, ist dies weder unangemessen noch sonst wie bundesrechtswidrig. Lediglich der Vollständigkeit halber sei darauf hingewiesen, dass die Beschwerdegegnerin im Rahmen ihrer Aufsichtsbefugnisse nicht nur die Zulassung des Reglements unter der Voraussetzung einer individuellen Bestätigung jeder einzelnen Strategie durch den Experten hätte verlangen dürfen, sondern durchaus auch - wesentlich einschneidender - die Durchsetzung einer Reglementsänderung in Betracht gekommen wäre.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