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30</w:t>
      </w:r>
    </w:p>
    <w:p>
      <w:r>
        <w:t>Bundesgericht (BGE), 2015-01-20, FR</w:t>
      </w:r>
    </w:p>
    <w:p>
      <w:r>
        <w:rPr>
          <w:b/>
        </w:rPr>
        <w:t xml:space="preserve">Quelle: </w:t>
      </w:r>
      <w:r>
        <w:t>https://mcp.opencaselaw.ch/entscheid/bge_BGE_141_V_30</w:t>
      </w:r>
    </w:p>
    <w:p>
      <w:r>
        <w:t>FR: ATF 141 V 30</w:t>
      </w:r>
    </w:p>
    <w:p>
      <w:r>
        <w:t>IT: DTF 141 V 30</w:t>
      </w:r>
    </w:p>
    <w:p>
      <w:pPr>
        <w:pStyle w:val="Heading2"/>
      </w:pPr>
      <w:r>
        <w:t>Regeste</w:t>
      </w:r>
    </w:p>
    <w:p>
      <w:r>
        <w:t>Regeste Art. 11 UVG; Art. 19 UVV; Art. 1 HVUV; Ziff. 1.01 HVUV-Anhang; Abgabe von Hilfsmitteln (C-Leg-Prothese). Voraussetzungen des Anspruchs auf Abgabe einer C-Leg-Prothese (mit Mikroprozessor-gesteuertem hydraulischem Kniegelenk) durch den Unfallversicherer; Prüfung der Kriterien der Zweckmässigkeit und der Einfachheit, wenn eine mechanische Prothese im Fall des Versicherten ungeeignet, ja sogar kontraindiziert ist; aus diesem Grund und wegen seiner mehrfachen Beeinträchtigungen ist nicht entscheidwesentlich, dass die C-Leg-Prothese dem Betroffenen nicht erlauben wird, eine nennenswerte Erwerbstätigkeit aufzunehmen (E. 3.2).</w:t>
      </w:r>
    </w:p>
    <w:p>
      <w:r>
        <w:t>Regeste Art. 11 LAA; art. 19 OLAA; art. 1 er OMAA; ch. 1.01 OMAA Annexe; remise d'un moyen auxiliaire (prothèse de type C-Leg). Conditions du droit à la remise par l'assureur-accidents d'une prothèse de type C-Leg (articulation hydraulique du genou contrôlée par un micro-processeur); examen des critères d'adéquation et de simplicité lorsqu'une prothèse mécanique est inadaptée à l'état de l'assuré, voire contre-indiquée; à cet égard, le fait que la prothèse C-Leg ne permettra pas à l'intéressé, étant donné ses handicaps multiples, de reprendre une activité lucrative d'une certaine importance n'est pas décisif (consid. 3.2).</w:t>
      </w:r>
    </w:p>
    <w:p>
      <w:r>
        <w:t>Regesto Art. 11 LAINF; art. 19 OAINF; art. 1 OMAINF; n. 1.01 OMAINF Allegato; consegna di mezzi ausiliari (protesi di tipo C-Leg). Condizioni del diritto alla consegna da parte dell'assicuratore infortuni di una protesi di tipo C-Leg (articolazione idraulica del ginocchio controllata da un microprocessore); esame dei criteri di adeguatezza e semplicità quando una protesi meccanica è inadatta e persino controindicata per l'assicurato; per questo motivo e considerate le sue molteplici affezioni, non è decisivo che la protesi di tipo C-Leg non consentirà all'interessato di riprendere un'attività lucrativa di un certo rilievo (consid. 3.2).</w:t>
      </w:r>
    </w:p>
    <w:p>
      <w:pPr>
        <w:pStyle w:val="Heading2"/>
      </w:pPr>
      <w:r>
        <w:t>Erwägungen</w:t>
      </w:r>
    </w:p>
    <w:p>
      <w:r>
        <w:rPr>
          <w:b/>
        </w:rPr>
        <w:t>E. 2</w:t>
      </w:r>
    </w:p>
    <w:p>
      <w:r>
        <w:t>Selon l' art. 11 LAA , l'assuré a droit aux moyens auxiliaires destinés à compenser un dommage corporel ou la perte d'une fonction; BGE 141 V 30 S. 33 le Conseil fédéral établit la liste de ces moyens auxiliaires (al. 1). Les moyens auxiliaires sont d'un modèle simple et adéquat; l'assureur les remet en toute propriété ou en prêt (al. 2). A l' art. 19 OLAA (RS 832.202),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 12) avec, en annexe, la liste des moyens auxiliaires. Selon l'art. 1 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L'OMAA Annexe comprend notamment des prothèses fonctionnelles pour les pieds et les jambes (ch. 1.01).</w:t>
      </w:r>
    </w:p>
    <w:p>
      <w:r>
        <w:rPr>
          <w:b/>
        </w:rPr>
        <w:t>E. 3.1</w:t>
      </w:r>
    </w:p>
    <w:p>
      <w:r>
        <w:t>La CNA ne conteste pas le droit de l'assuré au renouvellement de sa prothèse. Elle conteste le caractère simple et adéquat d'une prothèse de type C-Leg. Elle fait valoir que cette prothèse ne permettra pas à l'assuré de reprendre une activité professionnelle. Son usage serait donc sans influence sur le montant de la rente qu'il perçoit. Quoi qu'il en soit, il n'apparaît pas que dans son domaine d'activité, à savoir l'informatique, l'intéressé devrait nécessairement effectuer des déplacements sur terrains accidentés ou montagneux nécessitant le port d'une prothèse de type C-Leg pour réduire considérablement le risque de chutes. Il n'apparaît donc pas que la prestation en cause soit propre à atteindre le but fixé par la loi ni qu'il existe un rapport raisonnable entre le coût et l'utilité du moyen auxiliaire. S'il est incontestable que la prothèse robotisée est technologiquement meilleure et offre un confort supérieur, il n'en reste pas moins qu'un appareillage mécanique, lorsque le fût est adapté, compense pleinement la perte de fonction dont est victime l'assuré. Enfin, on ne saurait présumer que le surcoût lié à la prothèse C-Leg serait en fin de compte pris en charge par l'assurance de responsabilité civile du conducteur responsable de l'accident dont a été victime l'intéressé. BGE 141 V 30 S. 34 Il n'est pas dit, soutient la recourante, qu'elle puisse en obtenir le remboursement. Toujours est-il, conclut la CNA, que l'assuré a la possibilité de s'adresser à l'assureur en responsabilité civile du tiers responsable afin d'obtenir le paiement de la différence de prix entre la prothèse mécanique et le modèle électronique. En effet, contrairement à l'assureur-accidents, l'assureur en responsabilité civile n'est pas limité dans la réparation du dommage civil liée à l'allocation des prestations légales telles que celles prescrites par l' art. 72 LPGA (RS 830.1).</w:t>
      </w:r>
    </w:p>
    <w:p>
      <w:r>
        <w:rPr>
          <w:b/>
        </w:rPr>
        <w:t>E. 3.2.1</w:t>
      </w:r>
    </w:p>
    <w:p>
      <w:r>
        <w:t>Comme tout moyen auxiliaire, une prothèse pour les jambes doit répondre aux critères de simplicité et d'adéquation ( art. 11 al. 2 LAA ; art. 1 er al. 2 OMAA).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ATF 135 I 161 consid. 5.1 p. 165 et les références citées; arrêt 9C_265/2012 du 12 octobre 2012 consid. 3.4).</w:t>
      </w:r>
    </w:p>
    <w:p>
      <w:r>
        <w:rPr>
          <w:b/>
        </w:rPr>
        <w:t>E. 3.2.2</w:t>
      </w:r>
    </w:p>
    <w:p>
      <w:r>
        <w:t>Le système C-Leg est une articulation hydraulique du genou contrôlée par un micro-processeur. Il permet une régulation électronique de la phase d'appui et de la phase pendulaire et s'adapte à la longueur de pas du patient. Un système de capteurs permet de récolter des données à tout moment du cycle de marche et de contrôler l'amortissement hydraulique. La personne portant la prothèse peut se mouvoir avec sécurité en variant la vitesse de marche, en terrains irréguliers et en montant ou descendant des escaliers. L'amortissement hydraulique garantit la sécurité en phase d'appui, puis est désactivé lors de la charge sur l'avant du pied de manière à favoriser la phase pendulaire sans dépense excessive d'énergie. L'indication médicale pour la pose d'une prothèse C-Leg se limite en principe aux personnes amputées d'une jambe au niveau de la cuisse et disposant d'une mobilité illimitée en extérieur. D'un point de vue épidémiologique, entre 30 et 50 patients par an seraient concernés en Suisse (sur ces divers points: ATF 132 V 215 consid. 2.1 et 2.2 p. 218 s.).</w:t>
      </w:r>
    </w:p>
    <w:p>
      <w:r>
        <w:rPr>
          <w:b/>
        </w:rPr>
        <w:t>E. 3.2.3</w:t>
      </w:r>
    </w:p>
    <w:p>
      <w:r>
        <w:t>La jurisprudence a refusé de nier d'emblée le caractère simple et adéquat d'une prothèse C-Leg, en précisant notamment que l'existence d'une convention tarifaire portant sur un moyen auxiliaire ne constituait pas une condition du droit aux prestations. Elle a jugé BGE 141 V 30 S. 35 qu'il convenait, dans chaque cas concret, d'examiner si les critères de simplicité et d'adéquation étaient remplis eu égard aux perspectives de réadaptation de la personne concernée. Ainsi l'ancien Tribunal fédéral des assurances a jugé, dans le domaine de l'assurance-invalidité, que l'octroi d'une prothèse C-Leg supposait que ce moyen auxiliaire fût nécessaire pour que l'assuré pût exercer son métier dans des conditions satisfaisantes. Par ailleurs, le caractère proportionné du moyen auxiliaire, compte tenu de la durée probable pendant laquelle l'assuré exercerait encore son métier, devait, en règle générale, être évalué en considérant que l'intéressé cesserait son activité professionnelle à l'âge légal de la retraite au plus tard (64 ans révolus pour les femmes, 65 ans révolus pour les hommes, conformément à l' art. 21 al. 1 LAVS ; ATF 132 V 215 p. 226 ss consid. 4.3.3 et 4.3.4).</w:t>
      </w:r>
    </w:p>
    <w:p>
      <w:r>
        <w:rPr>
          <w:b/>
        </w:rPr>
        <w:t>E. 3.2.4</w:t>
      </w:r>
    </w:p>
    <w:p>
      <w:r>
        <w:t>Dans le cas particulier, il ressort des constatations des premiers juges - qui se fondent essentiellement sur le rapport de la Clinique F. - que la prothèse mécanique utilisée par l'assuré est à l'origine de chutes à répétition. Aussi bien le patient a-t-il développé une importante appréhension de telle sorte qu'il marche essentiellement le genou bloqué avec l'aide d'une canne. La prothèse est utilisée environ 25 % du temps à l'intérieur et 50 % à l'extérieur. Le reste des déplacements se fait en fauteuil roulant. Depuis l'évaluation qui a été pratiquée le 7 décembre 2011, l'assuré a utilisé le C-Leg environ trois semaines. Il s'est très vite habitué à la nouvelle prothèse et il a rapidement compris son fonctionnement. Il n'y aurait pas eu de chutes dans la période d'essai et, subjectivement, l'intéressé annonce une nette diminution de son appréhension à la marche, une plus grande utilisation de la prothèse et une diminution des lombalgies. L'utilisation de la prothèse serait par exemple passée à l'intérieur de 25 à 75 % du temps et à l'extérieur de 50 à 100 %. Selon les constatations faites à la Clinique F., l'index des capacités locomotrices a aussi augmenté de manière significative, passant de 19/42 points à 30/42 points. Ce sont principalement les activités de base qui ont progressé pendant cette période d'évaluation. Objectivement, les spécialistes de la Clinique F. mettent également en évidence une amélioration de tous les paramètres de marche, l'amélioration la plus significative étant constatée pour les pentes et la descente d'escaliers. Compte tenu de l'ensemble de ces éléments, chez un assuré qui présente des déficiences somatiques multiples (amputation transfémorale gauche, plexus brachial gauche complet notamment), les spécialistes parviennent à BGE 141 V 30 S. 36 la conclusion que les critères de prise en charge d'un genou électronique sont remplis. Aussi bien le groupe d'évaluation (comprenant notamment deux médecins et un physiothérapeute) recommande-t-il la prise en charge du moyen auxiliaire demandé par l'assuré. Le docteur H. a fait siennes les constatations et les conclusions du groupe d'évaluation.</w:t>
      </w:r>
    </w:p>
    <w:p>
      <w:r>
        <w:rPr>
          <w:b/>
        </w:rPr>
        <w:t>E. 3.2.5</w:t>
      </w:r>
    </w:p>
    <w:p>
      <w:r>
        <w:t>On doit ainsi admettre qu'une prothèse mécanique est inadaptée à l'état de l'assuré et qu'elle est même contre-indiquée. Elle n'est donc pas propre à atteindre - en tout cas pas pleinement - son but de réadaptation fonctionnelle. Sur la base des éléments relevés ci-dessus, il y a lieu d'admettre que les critères d'adéquation et de simplicité sont remplis dans le cas concret pour la remise d'un genou C-Leg. Le fait que celui-ci ne permettra pas à l'assuré, au vu de ses handicaps multiples, de reprendre une activité lucrative d'une certaine importance ne saurait être décisif. Dans l'assurance-accidents, l'assuré a droit, comme on l'a vu, aux moyens auxiliaires destinés à compenser un dommage corporel ou la perte d'une fonction. Ils apparaissent comme un complément du traitement médical selon l' art. 10 LAA ; leur remise n'est pas liée à une réadaptation professionnelle et donc pas non plus à une durée probable d'activité (voir RAFFAELLA BIAGGI, UV-Leistungen: Sach- und Geldleistungen, in Recht der Sozialen Sicherheit, Steiger-Sackmann/Mosimann [éd.], 2014, n. 17.28 p. 605; GHÉLEW/RAMELET/RITTER, Commentaire de la loi sur l'assurance-accidents [LAA], 1992, p. 76; cf. aussi ATF 114 V 306 consid. 3 p. 308).</w:t>
      </w:r>
    </w:p>
    <w:p>
      <w:r>
        <w:rPr>
          <w:b/>
        </w:rPr>
        <w:t>E. 3.2.6</w:t>
      </w:r>
    </w:p>
    <w:p>
      <w:r>
        <w:t>Dans l'assurance-invalidité la remise d'une prothèse pour les jambes n'est certes pas non plus liée à une activité professionnelle (art. 2 de l'ordonnance du 29 novembre 1976 du DFI concernant la remise de moyens auxiliaires par l'assurance-invalidité [OMAI; RS 831.232.51] en corrélation avec le ch. 1.01 de l'annexe à ladite ordonnance). L'ancien Tribunal fédéral des assurances a néanmoins jugé que la remise d'une prothèse C-Leg était limitée aux cas dans lesquels il existe un besoin de réadaptation particulièrement élevé, in casu des exigences professionnelles spéciales ( ATF 132 V 215 ). Mais cette jurisprudence visait une situation où l'on pouvait a priori admettre qu'une prothèse mécanique permettait par ailleurs de répondre aux exigences de la vie privée de l'assuré. On l'a vu, ce n'est pas le cas en l'espèce en raison de la double perte fonctionnelle dont est atteint l'assuré (perte de l'usage de la jambe et du bras). BGE 141 V 30 S. 37</w:t>
      </w:r>
    </w:p>
    <w:p>
      <w:r>
        <w:rPr>
          <w:b/>
        </w:rPr>
        <w:t>E. 3.2.7</w:t>
      </w:r>
    </w:p>
    <w:p>
      <w:r>
        <w:t>Quant au point de savoir si et dans quelle mesure l'assureur-accidents pourra exercer un recours subrogatoire contre le tiers responsable, respectivement son assureur en responsabilité civile, il n'a aucune incidence sur le droit aux prestations selon la LAA. L'argument de la recourante sur ce point est dépourvu de tout fondement.</w:t>
      </w:r>
    </w:p>
    <w:p>
      <w:r>
        <w:rPr>
          <w:b/>
        </w:rPr>
        <w:t>E. 3.3</w:t>
      </w:r>
    </w:p>
    <w:p>
      <w:r>
        <w:t>En résumé, une prothèse mécanique étant inadaptée à l'état de santé de l'assuré, la remise d'un genou C-Leg apparaît en l'occurrence comme le moyen le plus simple pour compenser le dommage corporel subi par l'intéressé ensuite de l'accident du 1 er avril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