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119</w:t>
      </w:r>
    </w:p>
    <w:p>
      <w:r>
        <w:t>Bundesgericht (BGE), 2014-12-18, DE</w:t>
      </w:r>
    </w:p>
    <w:p>
      <w:r>
        <w:rPr>
          <w:b/>
        </w:rPr>
        <w:t xml:space="preserve">Quelle: </w:t>
      </w:r>
      <w:r>
        <w:t>https://mcp.opencaselaw.ch/entscheid/bge_BGE_141_V_119</w:t>
      </w:r>
    </w:p>
    <w:p>
      <w:r>
        <w:t>FR: ATF 141 V 119</w:t>
      </w:r>
    </w:p>
    <w:p>
      <w:r>
        <w:t>IT: DTF 141 V 119</w:t>
      </w:r>
    </w:p>
    <w:p>
      <w:pPr>
        <w:pStyle w:val="Heading2"/>
      </w:pPr>
      <w:r>
        <w:t>Regeste</w:t>
      </w:r>
    </w:p>
    <w:p>
      <w:r>
        <w:t>Regeste Art. 56a Abs. 1 BVG (in der bis Ende 2011 gültigen Fassung); Verantwortlichkeit. Ein Rückgriffsanspruch des Sicherheitsfonds BVG gegen den einzigen Verwaltungsrat der Finanzdienstleisterin der zahlungsunfähigen Vorsorgeeinrichtung, welcher stets in der Eigenschaft als Verwaltungsrat der Finanzdienstleisterin handelte und selber in keinem Vertragsverhältnis zur Vorsorgeeinrichtung stand, mithin keine Aufgabe im Bereich der beruflichen Vorsorge wahrnahm, entfällt (E. 3.3). Die Voraussetzungen für einen Haftungsdurchgriff sind nicht gegeben (E. 3.4).</w:t>
      </w:r>
    </w:p>
    <w:p>
      <w:r>
        <w:t>Regeste Art. 56a al. 1 LPP (dans sa teneur en vigueur jusqu'à la fin de l'année 2011); responsabilité. Il n'y a pas de place pour une prétention récursoire du Fonds de garantie LPP contre l'administrateur unique de la société prestataire de services financiers de l'institution de prévoyance insolvable, lorsque celui-ci a toujours agi en qualité d'administrateur de la société prestataire de services financiers et n'a lui-même jamais été en relation contractuelle avec l'institution de prévoyance, partant n'a assumé aucune fonction dans le domaine de la prévoyance professionnelle (consid. 3.3). Les conditions pour une responsabilité découlant du principe de la transparence ne sont pas données (consid. 3.4).</w:t>
      </w:r>
    </w:p>
    <w:p>
      <w:r>
        <w:t>Regesto Art. 56a cpv. 1 LPP (nella versione in vigore fino a fine 2011); responsabilità. Non vi è diritto di regresso del Fondo di garanzia LPP contro l'amministratore unico della società esecutrice di servizi finanziari dell'istituto di previdenza professionale divenuto insolvibile, quando egli ha sempre agito solo nella sua qualità di amministratore unico della società esecutrice di servizi finanziari e non è mai stato in rapporto contrattuale con l'istituto di previdenza, e pertanto non ha mai svolto alcuna funzione nell'ambito della previdenza professionale (consid. 3.3). Non si realizzano le condizioni per una sua responsabilità derivante dal principio della trasparenza (consid. 3.4).</w:t>
      </w:r>
    </w:p>
    <w:p>
      <w:pPr>
        <w:pStyle w:val="Heading2"/>
      </w:pPr>
      <w:r>
        <w:t>Erwägungen</w:t>
      </w:r>
    </w:p>
    <w:p>
      <w:r>
        <w:rPr>
          <w:b/>
        </w:rPr>
        <w:t>E. 3</w:t>
      </w:r>
    </w:p>
    <w:p>
      <w:r>
        <w:t>Der Beschwerdeführer wird - gleich wie die M. AG (vgl. BGE 141 V 112 ) - gestützt auf Art. 56a BVG ins Recht gefasst. Er macht geltend, ausschliesslich als deren Organ gehandelt und nicht BGE 141 V 119 S. 123 persönlich in einem Auftragsverhältnis zur Stiftung gestanden zu haben.</w:t>
      </w:r>
    </w:p>
    <w:p>
      <w:r>
        <w:rPr>
          <w:b/>
        </w:rPr>
        <w:t>E. 3.1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BGE 141 V 119 S. 124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an die gleiche Adresse wie die Stiftung, die Q. AG und die R. AG. Mit einer Verwaltungsvollmacht für Finanzintermediäre vom 19. September 2003 räumte die Stiftung der Beklagten 12 das Recht ein,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w:t>
      </w:r>
    </w:p>
    <w:p>
      <w:r>
        <w:rPr>
          <w:b/>
        </w:rPr>
        <w:t>E. 3.2</w:t>
      </w:r>
    </w:p>
    <w:p>
      <w:r>
        <w:t>Mit BGE 141 V 112 E. 5.2.2 S. 116 vom heutigen Tag bestätigte das Bundesgericht das vom kantonalen Gericht angenommene Auftragsverhältnis zwischen der Stiftung und der M. AG. Das wiederholte Tätigwerden im Interesse der Stiftung, die Art der von dieser in Anspruch genommenen Dienstleistungen, die gewichtige Vertrauensstellung und der in zeitlicher Hinsicht offene Rahmen würden gegen BGE 141 V 119 S. 125 blosse Gefälligkeitshandlungen sprechen. Wenn auch Zahlungsaufträge (zu Lasten der Konten der Stiftung bei der V. AG) nur vereinzelt weitergeleitet worden seien, ändere dies nichts am Gesamtbild einer über längere Zeit anhaltenden Geschäftsbeziehung. Es komme nicht allein auf die Häufigkeit der einzelnen Leistungen an. Vielmehr sei auch auf die Bedeutung und Intensität der Unterstützung abzustellen. Diese liessen nicht auf Uneigennützigkeit und reine Gelegenheit schliessen. Dass keine Vergütung abgemacht worden sei, wie die M. AG behaupte, nach den überzeugenden Erwägungen der Vorinstanz jedoch wenig glaubhaft sei, spiele für das Zustandekommen eines Auftrags keine Rolle.</w:t>
      </w:r>
    </w:p>
    <w:p>
      <w:r>
        <w:rPr>
          <w:b/>
        </w:rPr>
        <w:t>E. 3.3</w:t>
      </w:r>
    </w:p>
    <w:p>
      <w:r>
        <w:t>Der Beschwerdeführer selber stand in keinem Vertragsverhältnis mit der Stiftung. Er mag der (physische) Verfasser verschiedener Erklärungen sein, welche die M. AG - u.a. nach Vorgabe des Beklagten 4 - abgegeben hat (vgl. BGE 141 V 112 E. 5.3 S. 117). Indes agierte er nie persönlich resp. in eigenem Namen, sondern stets für die M. AG oder - in anderem Kontext - für eine andere Unternehmung des Firmenkonglomerats rund um die Stiftung (vgl. E. 3.1 vorne und E. 3.4 nachfolgend). So hat denn auch die Vorinstanz für das Bundesgericht verbindlich festgestellt (nicht publ. E. 1.1), dass der Beschwerdeführer immer in seiner Eigenschaft als einziger Verwaltungsrat für die Beklagte 12 gehandelt hat. Mithin nahm er keine Aufgabe im Bereich der beruflichen Vorsorge wahr, womit ein Anspruch gemäss Art. 56a Abs. 1 BVG entfällt, ausser es wäre ein Haftungsdurchgriff möglich.</w:t>
      </w:r>
    </w:p>
    <w:p>
      <w:r>
        <w:rPr>
          <w:b/>
        </w:rPr>
        <w:t>E. 3.4</w:t>
      </w:r>
    </w:p>
    <w:p>
      <w:r>
        <w:t>Der Haftungsdurchgriff ist nach Schweizer Recht ein Anwendungsfall des Rechtsmissbrauchsverbots ( BGE 128 III 346 E. 3.1.4 S. 349 mit Hinweis auf BGE 121 III 319 E. 5a/aa S. 321). Ein solcher (Anwendungsfall) lässt sich in concreto nicht ausmachen: Die M. AG wurde bereits im Jahr 1996 gegründet. Sie war seit jeher im Finanzbereich tätig und befand sich in Wartestellung, die "eigentliche" Vermögensverwaltung der Stiftung zu übernehmen (vgl. BGE 141 V 112 E. 5.2.2 S. 116). Wie sich aus den Akten ergibt, verkaufte sie zwar am 27. August 2003 die Aktien der U. AG u.a. an den Beklagten 4, wobei der Beschwerdeführer bis 18. November 2004 noch in deren Verwaltungsrat blieb. Am 4. Juni 2004 unterzeichnete er in dieser Funktion zusammen mit dem Beklagten 4 für die U. AG einen Vermögensverwaltungsauftrag mit der Stiftung, in welchem das Bankkonto mit der Haupt-Nr. ... bei der V. AG BGE 141 V 119 S. 126 vordefiniert und festgehalten wurde, dass das Deckungskapital zu jeder Zeit im Besitz der Stiftung verbleibt. Allein gestützt auf diese (vertraglichen) Gegebenheiten lässt sich jedoch nicht sagen, der Beschwerdeführer habe die M. AG dafür instrumentalisiert, um sich einer allfälligen berufsvorsorgerechtlichen Verantwortung zu entziehen. Aus dem vorinstanzlichen Entscheid ergeben sich keine gegenteiligen Anhaltspunkte.</w:t>
      </w:r>
    </w:p>
    <w:p>
      <w:r>
        <w:rPr>
          <w:b/>
        </w:rPr>
        <w:t>E. 3.5</w:t>
      </w:r>
    </w:p>
    <w:p>
      <w:r>
        <w:t>Nach dem Gesagten hat der Beschwerdeführer selber keine Aufgabe im Bereich der beruflichen Vorsorge wahrgenommen und der Sicherheitsfonds kann sich zur Begründung seines auf Art. 56a Abs. 1 BVG gestützten Anspruchs - anders als gegenüber der M. AG - nicht auf einen zwischen der Stiftung und dem Beschwerdeführer abgeschlossenen Vertrag berufen (vgl. BGE 135 V 373 E. 3.4 S. 381). Der Vollständigkeit halber sei jedoch auf Folgendes hingewiesen: Nachdem sich das Strafverfahren (vgl. Sachverhalt lit. A.b), wie von der Vorinstanz für das Bundesgericht verbindlich festgestellt (nicht publ. E. 1.1), nebst den Beklagten 1 und 4 auch gegen den Beschwerdeführer richtet und dieser erstinstanzlich durch das Zuger Strafgericht verurteilt worden ist, kann es durchaus sein, dass der Sicherheitsfonds den Beschwerdeführer aus Delikt in Anspruch nehmen kann. Für die Beurteilung dieses Streits ist indessen nicht der Berufsvorsorgerichter zuständig (vgl. Art. 73 Abs. 1 lit. c und d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