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112</w:t>
      </w:r>
    </w:p>
    <w:p>
      <w:r>
        <w:t>Bundesgericht (BGE), 2014-12-18, DE</w:t>
      </w:r>
    </w:p>
    <w:p>
      <w:r>
        <w:rPr>
          <w:b/>
        </w:rPr>
        <w:t xml:space="preserve">Quelle: </w:t>
      </w:r>
      <w:r>
        <w:t>https://mcp.opencaselaw.ch/entscheid/bge_BGE_141_V_112</w:t>
      </w:r>
    </w:p>
    <w:p>
      <w:r>
        <w:t>FR: ATF 141 V 112</w:t>
      </w:r>
    </w:p>
    <w:p>
      <w:r>
        <w:t>IT: DTF 141 V 112</w:t>
      </w:r>
    </w:p>
    <w:p>
      <w:pPr>
        <w:pStyle w:val="Heading2"/>
      </w:pPr>
      <w:r>
        <w:t>Regeste</w:t>
      </w:r>
    </w:p>
    <w:p>
      <w:r>
        <w:t>Regeste Art. 56a Abs. 1 BVG (in der bis Ende 2011 gültigen Fassung); Verantwortlichkeit; Rückgriff der Stiftung Sicherheitsfonds BVG auf die Finanzdienstleisterin einer zahlungsunfähig gewordenen Vorsorgeeinrichtung. Abgrenzung zwischen unverbindlicher Gefälligkeit und vertraglicher Bindung; wiederholtes Tätigwerden einer Finanzdienstleisterin im Interesse der Vorsorgeeinrichtung als Auftragsverhältnis qualifiziert (E. 5.2).</w:t>
      </w:r>
    </w:p>
    <w:p>
      <w:r>
        <w:t>Regeste Art. 56a al. 1 LPP (dans sa teneur en vigueur jusqu'à la fin de l'année 2011); responsabilité; droit de recours de la Fondation Fonds de garantie LPP contre la société prestataire de services financiers d'une institution de prévoyance insolvable. Délimitation entre un service sans engagement et un engagement contractuel; activité répétée d'une société prestataire de services financiers au profit d'une institution de prévoyance qualifiée de rapport de mandat (consid. 5.2).</w:t>
      </w:r>
    </w:p>
    <w:p>
      <w:r>
        <w:t>Regesto Art. 56a cpv. 1 LPP (nella versione in vigore fino a fine 2011); responsabilità; regresso della Fondazione Fondo di garanzia LPP contro la società esecutrice di servizi finanziari di un istituto di previdenza divenuto insolvibile. Distinzione tra una prestazione senza obbligo giuridico e un impegno contrattuale; attività ripetuta di una società esecutrice di servizi finanziari nell'interesse di un istituto di previdenza qualificabile come rapporto di mandato (consid. 5.2).</w:t>
      </w:r>
    </w:p>
    <w:p>
      <w:pPr>
        <w:pStyle w:val="Heading2"/>
      </w:pPr>
      <w:r>
        <w:t>Erwägungen</w:t>
      </w:r>
    </w:p>
    <w:p>
      <w:r>
        <w:rPr>
          <w:b/>
        </w:rPr>
        <w:t>E. 3</w:t>
      </w:r>
    </w:p>
    <w:p>
      <w:r>
        <w:t>Die Beschwerdeführerin wird gestützt auf Art. 56a BVG ins Recht gefasst. Diese Haftungsgrundlage ist grundsätzlich unbestritten. (...)</w:t>
      </w:r>
    </w:p>
    <w:p>
      <w:r>
        <w:rPr>
          <w:b/>
        </w:rPr>
        <w:t>E. 5.1</w:t>
      </w:r>
    </w:p>
    <w:p>
      <w:r>
        <w:t>Hinsichtlich der Frage nach der anzuwendenden Sorgfalt ist die Vorinstanz von einem Auftragsverhältnis der Beschwerdeführerin mit der Stiftung ausgegangen. In einem solchen Fall nimmt die (mit Finanzdienstleistungen betraute) Beschwerdeführerin eine Aufgabe im Bereich der beruflichen Vorsorge wahr und der Sicherheitsfonds kann sich zur Begründung des widerrechtlichen Verhaltens auf die Verletzung des zwischen der Stiftung und der Beschwerdeführerin geschlossenen Vertrags berufen ( BGE 135 V 373 E. 3.4 S. 381). Die Beschwerdeführerin bestreitet eine vertragliche Bindung.</w:t>
      </w:r>
    </w:p>
    <w:p>
      <w:r>
        <w:rPr>
          <w:b/>
        </w:rPr>
        <w:t>E. 5.2.1</w:t>
      </w:r>
    </w:p>
    <w:p>
      <w:r>
        <w:t>Die Vorinstanz hat zur Abgrenzung von unverbindlicher Gefälligkeit und Vertragsbindung richtig auf die Art der Leistung, ihren Grund und Zweck, ihre rechtliche und wirtschaftliche Bedeutung, die Umstände, unter denen sie erbracht wird, sowie auf die bestehende Interessenlage der Parteien abgestellt. Für einen Bindungswillen spricht ein eigenes, rechtliches oder wirtschaftliches Interesse der Person, welche die Leistung erbringt, oder ein erkennbares Interesse des Begünstigten an fachkundiger Beratung oder Unterstützung ( BGE 137 III 539 E. 4.1 S. 541 f.).</w:t>
      </w:r>
    </w:p>
    <w:p>
      <w:r>
        <w:rPr>
          <w:b/>
        </w:rPr>
        <w:t>E. 5.2.2</w:t>
      </w:r>
    </w:p>
    <w:p>
      <w:r>
        <w:t>Es ist unbestritten, dass die A. AG mehrfach für die Stiftung tätig gewesen ist. Die Vorinstanz hat ihr diesbezügliches Wirken akribisch aufgezeichnet; darauf kann an dieser Stelle verwiesen werden. Dabei steht fest, dass die A. AG keine typischen Aufgaben ausgeführt hat, die eine Vermögensverwaltungsgesellschaft im Auftragsverhältnis üblicherweise als Dienstleistungen erbringt. Sie befand sich diesbezüglich aber in Wartestellung. Nach den - für das Bundesgericht verbindlichen (nicht publ. E. 1.1) - Feststellungen der Vorinstanz hat die Stiftung die Dienstleistungen der A. AG vor allem deshalb in Anspruch genommen, weil sie als erfahrene Vermögensverwalterin in der Lage war, eine Kontoverbindung zur V. AG einzurichten und zu unterhalten. Dazu gehörte das Überwachen der verschiedenen Konten, das Aufbewahren aller Original-Kontodokumente der V. AG, das Ausführen von zuvor angewiesenen BGE 141 V 112 S. 117 Vergütungsaufträgen, bei denen vergleichsweise sehr hohe Summen im Spiel waren, das Erteilen von Auskünften gegenüber dem Stiftungsrat und gegenüber den einzelnen Vorsorgewerken bezüglich des Vermögensstandes, das Auftreten gegenüber der kontoführenden V. AG als Finanzintermediärin der Stiftung und das Erteilen von Auskünften gegenüber der V. AG (vgl. dazu auch E. 5.3 nachfolgend). Im Weiteren konnte die A. AG - infolge der von beiden Seiten widerspruchslos akzeptierten Vollmacht der V. AG - im Prinzip Anlagegeschäfte für die Stiftung tätigen und eine etwaige Vergütung einem V.-Konto der Stiftung belasten. Da die Stiftung freiwillig auf die Zustellung der Kontoinformationen verzichtet hatte, hätte sie von solchen Vorgängen lange nicht erfahren. Seit Mitte Dezember 2003 ging sämtliche Post - auf unbestimmte Zeit - direkt an die A. AG. Bei dieser Sachlage steht in Übereinstimmung mit der Vorinstanz fest, dass auf Grund des wiederholten Tätigwerdens der A. AG im Interesse der Stiftung, der Art der von dieser in Anspruch genommenen Dienstleistungen, der gewichtigen Vertrauensstellung und des in zeitlicher Hinsicht offenen Rahmens nicht von blossen Gefälligkeitshandlungen gesprochen werden kann. Wenn auch Zahlungsaufträge (zu Lasten der Konten der Stiftung bei der V. AG) nur vereinzelt weitergeleitet wurden, was die A. AG in den Vordergrund stellt, ändert dies nichts am Gesamtbild einer über längere Zeit anhaltenden Geschäftsbeziehung. Es kommt nicht allein auf die Häufigkeit der einzelnen Leistungen an. Vielmehr ist auch auf die Bedeutung und Intensität der Unterstützung abzustellen. Diese lassen nicht auf Uneigennützigkeit und reine Gelegenheit schliessen. Dass keine Vergütung abgemacht wurde, wie die A. AG behauptet, nach den überzeugenden Erwägungen der Vorinstanz jedoch wenig glaubhaft ist, spielt für das Zustandekommen eines Auftrags keine Rolle ( Art. 394 Abs. 3 OR ). Mithin ist das vom kantonalen Gericht angenommene Auftragsverhältnis zwischen der Stiftung und der A. AG zu bestätigen. Bei dieser Rechtslage erübrigen sich Weiterungen zu einem allenfalls ausservertraglichen Handeln.</w:t>
      </w:r>
    </w:p>
    <w:p>
      <w:r>
        <w:rPr>
          <w:b/>
        </w:rPr>
        <w:t>E. 5.3</w:t>
      </w:r>
    </w:p>
    <w:p>
      <w:r>
        <w:t>Gemäss Vorinstanz hat die Beschwerdeführerin als Beauftragte der Stiftung ihre Sorgfalts- resp. Treuepflicht dieser gegenüber mehrfach verletzt. Die A. AG bestreitet die ihr vorgeworfenen Pflichtverletzungen als solche nicht substanziiert, sondern stellt ein entsprechendes (pflichtwidriges) Verhalten lediglich pauschal in Abrede. Damit hat es bei den vorinstanzlich festgestellten BGE 141 V 112 S. 118 Sorgfaltspflichtverletzungen - sowohl in tatsächlicher als auch rechtlicher Hinsicht - sein Bewenden (nicht publ. E. 1): Die Beschwerdeführerin hat seit Februar 2004 gewusst oder hätte seit diesem Zeitpunkt zumindest wissen müssen, dass es sich bei den Geldern, die von der Stiftung auf das Konto der V. AG Nr. ... überwiesen wurden, um gebundene Mittel der Stiftung handelte, die besonderen Anlagevorschriften unterlagen. Dessen ungeachtet hat sie - auf Anweisung der Beklagten 1 und 4 - Zahlungen ausgelöst, die weder der Anlagetätigkeit der Stiftung noch der Deckung von Verwaltungsaufgaben und auch nicht der Befriedigung von Versichertenansprüchen dienten (am 17. Juni 2004: u.a. Beteiligung an einer Start-Up-Gesellschaft in Millionenhöhe; am 16. Juli 2004: Begleichung einer Forderung eines Kunden der Beschwerdeführerin über 1 Mio. Fr.; am 19. Juli 2004: Investition in ein privates Immobilienprojekt des Beklagten 4 in Spanien. Mit anderen Worten hat die Beschwerdeführerin Zahlungen ausgelöst, obwohl sie wusste oder hätte wissen müssen, dass diese zweckwidrig und geeignet waren, der Stiftung Schaden zuzufügen. Im Weiteren hat sie ihre Sorgfaltspflicht u.a. auch dadurch verletzt, indem sie eine unklare und missverständliche Bestätigung vom 15. Februar 2005 abgegeben hat, die vom Beklagten 4 vorgegeben worden war und von der sie hätte wissen müssen, dass die Empfänger bei der Stiftung daraus falsche Schlüsse bezüglich des tatsächlich von ihr betreuten Stiftungsvermögens ziehen konnten (Bestätigung, dass die "Summe von CHF 18 618 701.70 per 31.12.04 mit unsere[n] Daten übereinstimmt"). Ferner hat sie zwei Mal schriftliche Bestätigungen, vom 8. und 21. März 2005, bezüglich des Deckungskapitals bzw. bezüglich der Verzinsung dieses Deckungskapitals abgegeben. Adressaten waren die Stiftung ("per 1. März 2005 [steht Ihnen] zusätzliches Deckungskapital von CHF 9,4 Mio. für die zukünftige Akquisition von neuen Kunden zur Verfügung") bzw. sämtliche ihrer Vorsorgewerke ("Wir bestätigen, dass das Deckungskapital [...] per 31.12.2004 und die Verzinsung 2005 verbucht und sichergestellt sind."). Eine Überprüfung der - wiederum vom Beklagten 4 vorformulierten - Erklärungen hat nicht stattgefunden. Die Beschwerdeführerin hat daher nicht gewusst, ob die beiden Bestätigungen vom 8. und 21. März 2005 überhaupt eine Entsprechung in der Realität hatten. Sie hätte aber wissen müssen, dass ihre Erklärungen geeignet waren, bei den Adressaten falsche Vorstellungen bezüglich des Vorhandenseins von Deckungskapitalien zu wecken.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