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97</w:t>
      </w:r>
    </w:p>
    <w:p>
      <w:r>
        <w:t>Bundesgericht (BGE), 2015-01-22, DE</w:t>
      </w:r>
    </w:p>
    <w:p>
      <w:r>
        <w:rPr>
          <w:b/>
        </w:rPr>
        <w:t xml:space="preserve">Quelle: </w:t>
      </w:r>
      <w:r>
        <w:t>https://mcp.opencaselaw.ch/entscheid/bge_BGE_141_I_97</w:t>
      </w:r>
    </w:p>
    <w:p>
      <w:r>
        <w:t>FR: ATF 141 I 97</w:t>
      </w:r>
    </w:p>
    <w:p>
      <w:r>
        <w:t>IT: DTF 141 I 97</w:t>
      </w:r>
    </w:p>
    <w:p>
      <w:pPr>
        <w:pStyle w:val="Heading2"/>
      </w:pPr>
      <w:r>
        <w:t>Regeste</w:t>
      </w:r>
    </w:p>
    <w:p>
      <w:r>
        <w:t>Regeste Art. 6 Ziff. 1 EMRK; Anwendungsbereich und Anspruch auf eine Gerichtsverhandlung über die definitive Rechtsöffnung (Art. 80 f. SchKG). Zur Frage, ob Art. 6 Ziff. 1 EMRK in einem Vollstreckungsverfahren wie demjenigen der definitiven Rechtsöffnung anwendbar ist und ob ein konventionsrechtlicher Anspruch auf Durchführung einer Gerichtsverhandlung besteht (E. 5-7).</w:t>
      </w:r>
    </w:p>
    <w:p>
      <w:r>
        <w:t>Regeste Art. 6 par. 1 CEDH; champ d'application et droit à des débats publics dans le cadre de la procédure de mainlevée définitive (art. 80 s. LP). Examen de la question de savoir si l'art. 6 par. 1 CEDH s'applique dans une procédure d'exécution, plus particulièrement dans la procédure de mainlevée définitive, et si un droit conventionnel à la tenue de débats publics existe (consid. 5-7).</w:t>
      </w:r>
    </w:p>
    <w:p>
      <w:r>
        <w:t>Regesto Art. 6 n. 1 CEDU; campo di applicazione e diritto ad un'udienza nell'ambito della procedura di rigetto definitivo dell'opposizione (art. 80 seg. LEF). Esame della questione a sapere se l'art. 6 n. 1 CEDU si applica in una procedura esecutiva come quella di rigetto definitivo dell'opposizione e se esiste un diritto convenzionale alla tenuta di un'udienza (consid. 5-7).</w:t>
      </w:r>
    </w:p>
    <w:p>
      <w:pPr>
        <w:pStyle w:val="Heading2"/>
      </w:pPr>
      <w:r>
        <w:t>Erwägungen</w:t>
      </w:r>
    </w:p>
    <w:p>
      <w:r>
        <w:rPr>
          <w:b/>
        </w:rPr>
        <w:t>E. 5</w:t>
      </w:r>
    </w:p>
    <w:p>
      <w:r>
        <w:t>Der Beschwerdeführer rügt ausdrücklich eine Verletzung von Art. 6 Ziff. 1 EMRK . Er erblickt darin einen gleichsam voraussetzungslosen und damit formellen Anspruch auf Durchführung einer mündlichen bzw. öffentlichen Verhandlung.</w:t>
      </w:r>
    </w:p>
    <w:p>
      <w:r>
        <w:rPr>
          <w:b/>
        </w:rPr>
        <w:t>E. 5.1</w:t>
      </w:r>
    </w:p>
    <w:p>
      <w:r>
        <w:t>Nach Art. 6 Ziff. 1 EMRK hat jede Person ein Recht darauf, dass über Streitigkeiten mit Bezug auf ihre zivilrechtlichen Ansprüche und Verpflichtungen von einem unabhängigen und unparteiischen, auf Gesetz beruhenden Gericht in einem fairen Verfahren, öffentlich und innerhalb angemessener Frist verhandelt wird. Diese Bestimmung enthält demzufolge eine Vielzahl von Teilgehalten, welche ihrerseits auslegungsbedürftig sind. Die in Betreibung gesetzte Forderung auf Rückzahlung eines Studiendarlehens betrifft einen zivilrechtlichen Anspruch im Sinne der erwähnten Norm. Dass der Kanton Zürich als Gläubiger eine öffentlich-rechtliche Körperschaft ist, ändert daran nichts (vgl. Urteil Nr. 2614/65 des EGMR Ringeisen gegen Österreich vom 16. Juli 1971, Serie A Bd. 13 § 94). Der BGE 141 I 97 S. 99 konventionsrechtliche Anspruch auf eine öffentliche Verhandlung ist grundsätzlich vor der ersten Instanz zu gewähren ( BGE 136 I 279 E. 1 S. 281; BGE 135 I 313 E. 2.1 S. 316 f.; BGE 134 I 331 E. 3.1 S. 335 f.). Wenn eine untere Instanz eine öffentliche Verhandlung durchgeführt hat, ist dem Anspruch in aller Regel genüge getan, und die Rechtsmittelinstanz kann darauf verzichten, namentlich wenn sie ohne eigene Beweismassnahmen aufgrund der Akten entscheidet ( BGE 121 I 30 E. 5e S. 35 ff.; BGE 119 Ia 316 E. 2b S. 318 f.; Urteile 2C_347/2012 vom 28. März 2013 E. 3.2, nicht publ. in: BGE 139 II 185 ; 6B_362/2012 vom 29. Oktober 2012 E. 7.3.2; 1C_156/2012 vom 12. Oktober 2012 E. 5.2.3; 1C_457/2009 vom 23. Juni 2010 E. 3.3, in: ZBl 2011 S. 333 ff., 335 f.; MEYER-LADEWIG, EMRK, Handkommentar, 3. Aufl. 2011, N. 174-176 zu Art. 6 EMRK ; HAEFLIGER/SCHÜRMANN, Die EMRK und die Schweiz, 2. Aufl. 1999, S. 192). Aus der Rechtsprechung zu Art. 6 Ziff. 1 EMRK ergibt sich nun aber, dass Vollstreckungsverfahren, welche einem gerichtlichen Verfahren nachfolgen, dem Grundsatze nach nicht in den Anwendungsbereich dieser Bestimmung fallen, zumal in solchen Verfahren nicht über zivilrechtliche Ansprüche und Verpflichtungen verhandelt wird; vielmehr setze ein Vollstreckungsverfahren voraus, dass vorgängig ein zuständiges Gericht über den zu vollstreckenden Anspruch befunden hat (vgl. Entscheid Nr. 10757/84 der Europäischen Kommission für Menschenrechte [EKMR] W. gegen Österreich vom 13. Juli 1988, in: Décisions et rapports Nr. 56 S. 38 f.: "[Enforcement proceedings] do not themselves determine a dispute ('contestation') relating to civil rights, but presuppose a prior determination of these rights by thecompetent court", bestätigt in Entscheid Nr. 28977/95 der EKMR Krone-Verlag GmbH und Mediaprint Anzeigen GmbH &amp; Co KG gegen Österreich vom 21. Mai 1997 E. 1b). Die EKMR hat inhaltlich dieselbe Aussage gemacht, als sie ausführte, Art. 6 Ziff. 1 EMRK finde keine Anwendung auf Verfahren, in welchen nicht über den dem Streit zugrunde liegenden Anspruch entschieden werde (Entscheid Nr. 18623/91 der EKMR Zentralsparkasse und Kommerzialbank AG gegen Österreich vom 2. Dezember 1991 S. 3: "Article 6 does not apply to proceedings in which the merits of the case are not decided...") oder aber in welchen sich keine neuen Rechtsfragen stellen (Entscheid Nr. 26591/95 der EKMR Hofer gegen Österreich vom 21. Mai 1997 E. 2: "In connection with enforcement proceedings, the Commission recalls that Article 6 para. 1 of the Convention will generally not apply, unless in the enforcement BGE 141 I 97 S. 100 proceedings new legal issues are raised"). Entscheidend für die Frage der Anwendbarkeit von Art. 6 Ziff. 1 EMRK im Vollstreckungsverfahren ist mithin, ob dort noch über die Begründetheit der zu vollstreckenden Forderung entschieden wird oder nicht. Bei alledem ist ferner zu beachten, dass der EGMR den Begriff des Vollstreckungsverfahrens letztlich konventions-autonom definiert, und nicht alle Verfahren, welche vom nationalen Recht als Vollstreckungsverfahren bezeichnet werden, als solche gelten lässt (Entscheid Nr. 28977/95 der EKMR Krone-Verlag GmbH und Mediaprint Anzeigen GmbH &amp; Co KG gegen Österreich vom 21. Mai 1997 E. 1b, und Urteil Nr. 24550/94 des EGMR Estima Jorge gegen Portugal vom 21. April 1998, Recueil CourEDH 1998-II S. 772 §§ 34 und 37). Ausserdem wendet der EGMR Art. 6 Ziff. 1 EMRK an, wenn es um den Teilgehalt des Anspruchs auf Behandlung einer zivilrechtlichen Streitigkeit "innerhalb angemessener Frist" geht ( Estima Jorge gegen Portugal ). Zusammenfassend kann festgestellt werden, dass der EGMR jedenfalls diejenigen Vollstreckungsverfahren, denen ein ordentliches, gerichtliches Verfahren vorausgegangen ist und in welchen nicht über die Begründetheit der zu vollstreckenden Forderung entschieden wird, nicht als Teil der "contestation sur un droit de caractère civil" versteht, weshalb Art. 6 Ziff. 1 EMRK in solchen Verfahren grundsätzlich keine Anwendung findet.</w:t>
      </w:r>
    </w:p>
    <w:p>
      <w:r>
        <w:rPr>
          <w:b/>
        </w:rPr>
        <w:t>E. 5.2</w:t>
      </w:r>
    </w:p>
    <w:p>
      <w:r>
        <w:t>Der angefochtene Entscheid ist im Rahmen eines Vollstreckungsverfahrens ergangen; konkret geht es um die Vollstreckung der Rückerstattungsverfügung des Amts für Jugend und Berufsberatung vom 26. September 2011 (s. Sachverhalt Abs. 1). Die von der Beschwerdegegnerin angestrebte definitive Rechtsöffnung setzt voraus, dass die zu vollstreckende Verfügung vollstreckbar ist (Art. 80 Abs. 1 und Abs. 2 Ziff. 2 SchKG), was der Rechtsöffnungsrichter zu prüfen hat. Sodann prüft er folgende drei Identitäten: (1) die Identität zwischen dem Betreibenden und dem auf dem Rechtsöffnungstitel genannten Gläubiger, (2) die Identität zwischen dem Betriebenen und dem auf dem Rechtsöffnungstitel genannten Schuldner, sowie (3) die Identität zwischen der in Betreibung gesetzten Forderung und derjenigen, die sich aus dem Rechtsöffnungstitel ergibt ( BGE 139 III 444 E. 4.1.1 S. 446). Die Möglichkeiten des Schuldners zur Abwehr sind beschränkt; die definitive Rechtsöffnung ist zu erteilen, "wenn nicht der Betriebene durch Urkunden beweist, dass die Schuld seit Erlass BGE 141 I 97 S. 101 des Entscheids getilgt oder gestundet worden ist, oder die Verjährung anruft ( Art. 81 Abs. 1 SchKG ; BGE 140 III 372 E. 3). Einwendungen die darauf abzielen, die Begründetheit der im vollstreckbaren Entscheid ausgewiesenen Forderung infrage zu stellen, sind nicht zulässig. Im Verfahren um definitive Rechtsöffnung, welchem ein rechtskräftiges Urteil zugrunde liegt, wird mithin nicht über die Begründetheit der in Betreibung gesetzten Forderung entschieden. Dringt der Betriebene mit seinen Einwendungen im summarisch durchzuführenden Rechtsöffnungsverfahren nicht durch, allein weil er nicht in der Lage war, seine Tatsachenbehauptungen mittels Urkunden zu beweisen, stehen ihm die Feststellungsklage nach Art. 85a SchKG und gegebenenfalls die Rückforderungsklage nach Art. 86 SchKG zur Verfügung. Diese Verfahren sind ordentliche Verfahren, in welchen der Kläger keinen Beweismittelbeschränkungen unterliegt. Zusammenfassend kann festgehalten werden, dass der vorliegenden Streitsache ein Vollstreckungsverfahren im Sinne der in E. 5.1 definierten Art zugrunde liegt. Daher fällt es als solches nicht uneingeschränkt in den Anwendungsbereich des Art. 6 Ziff. 1 EMRK . Der vom Beschwerdeführer behauptete Anspruch auf eine mündliche bzw. öffentliche Verhandlung besteht im streitgegenständlichen Verfahren nicht.</w:t>
      </w:r>
    </w:p>
    <w:p>
      <w:r>
        <w:rPr>
          <w:b/>
        </w:rPr>
        <w:t>E. 6</w:t>
      </w:r>
    </w:p>
    <w:p>
      <w:r>
        <w:t>Soweit der Beschwerdeführer entgegen dem soeben dargelegten Grundsatz behaupten wollte, ausnahmsweise sei dennoch eine mündliche Verhandlung erforderlich gewesen, so hätte er die Gründe hiefür darlegen müssen (vgl. u.a. Entscheid Nr. 51914/09 des EGMR Ingold gegen Schweiz vom 14. Oktober 2014), was er aber weder im kantonalen Verfahren noch vor Bundesgericht getan hat. Eine Verletzung des rechtlichen Gehörs rügt der Beschwerdeführer zu Recht nicht, denn mit Verfügung vom 6. Januar 2014 gab der Rechtsöffnungsrichter dem Beschwerdeführer Gelegenheit zur Stellungnahme. Dem angefochtenen Entscheid zufolge reagierte der Beschwerdeführer nicht darauf, obwohl der Kanton Zürich die Mahnung vom 7. Mai 2012 und die Rechtsfolgen der unterbliebenen Reaktion bereits im Rechtsöffnungsbegehren vom 21. November 2013 zur Sprache gebracht hatte. Der Beschwerdeführer machte von seinem Recht zur schriftlichen Stellungnahme keinen Gebrauch. Bei dieser Ausgangslage war es unter der Herrschaft des Verhandlungsgrundsatzes ( Art. 55 Abs. 1 ZPO ), der auch im BGE 141 I 97 S. 102 Rechtsöffnungsverfahren gilt, nicht Aufgabe des erstinstanzlichen Rechtsöffnungsrichters, aus eigenem Antrieb nach den Beweggründen des Beschwerdeführers zu suchen und ihm hierzu eine mündliche Anhörung anzubieten. Im Übrigen bestreitet der Beschwerdeführer nicht, dass die in E. 5.2 erwähnten, vom Rechtsöffnungsrichter zu prüfenden Identitäten gegeben sind. Vielmehr beruft er sich darauf, dass ihm die Rückerstattungsverfügung des Amts für Jugend und Berufsberatung vom 26. September 2011 (s. Sachverhalt Abs. 1) nicht (richtig) eröffnet worden sei und der Kanton Zürich deshalb keinen gültigen Rechtsöffnungstitel vorgelegt habe. Dieser Einwand wirft eine reine Rechtsfrage auf. Warum der Rechtsöffnungsrichter diese nicht adäquat aufgrund der Akten oder schriftlichen Parteivorbringen hätte beantworten können, mündliche Erörterungen für die rechtliche Beurteilung also von unmittelbarer Bedeutung gewesen wären, tut der Beschwerdeführer wiederum nicht dar und ist auch nicht ersichtlich, zumal der Rechtsöffnungsrichter - wie auch die Rechtsmittelinstanz - das Recht von Amtes wegen anwendet ( Art. 57 ZPO ) und nicht auf rechtliche Ausführungen der Parteien angewiesen ist (Art. 221 Abs. 3 i.V.m. Art. 222 Abs. 2 i.V.m. Art. 219 ZPO ). Wie die vorigen Erwägungen zeigen, durfte der Rechtsöffnungsrichter unter den gegebenen Umständen trotz des entsprechenden Begehrens auf die Durchführung einer Verhandlung verzichten, ohne die Europäische Menschenrechtskonvention zu verletzen. Soweit sich der Beschwerdeführer überdies auf Art. 14 des Internationalen Paktes über bürgerliche und politische Rechte vom 16. Dezember 1966 (UNO-Pakt II; SR 0.103.2) beruft, zeigt er nicht auf, inwiefern diese Bestimmung einen weitergehenden Anspruch auf eine mündliche Verhandlung beinhaltet als Art. 6 Ziff. 1 EMRK . Die Beschwerde erweist sich auch insofern als unbegründet.</w:t>
      </w:r>
    </w:p>
    <w:p>
      <w:r>
        <w:rPr>
          <w:b/>
        </w:rPr>
        <w:t>E. 7</w:t>
      </w:r>
    </w:p>
    <w:p>
      <w:r>
        <w:t>Der Beschwerdeführer ist der Auffassung, die Rückerstattungsverfügung des Amts für Jugend und Berufsberatung vom 26. September 2011 (s. Sachverhalt Abs. 1) sei nicht (richtig) eröffnet worden, weshalb kein vollstreckbarer Rechtsöffnungstitel vorliege.</w:t>
      </w:r>
    </w:p>
    <w:p>
      <w:r>
        <w:rPr>
          <w:b/>
        </w:rPr>
        <w:t>E. 7.1</w:t>
      </w:r>
    </w:p>
    <w:p>
      <w:r>
        <w:t>Entscheide, die der betroffenen Person nicht eröffnet worden sind, entfalten grundsätzlich keine Rechtswirkungen ( BGE 122 I 97 E. 3a/bb S. 99); sie erwachsen nicht in Rechtskraft ( BGE 130 III 396 E. 1.3 S. 400) und können somit nicht vollstreckt werden. Geht es um eine auf Geld lautende Verfügung, hat grundsätzlich der BGE 141 I 97 S. 103 Gläubiger, der einen Rechtsöffnungstitel vorlegt und gestützt hierauf die Erteilung der definitiven Rechtsöffnung verlangt, den Nachweis der Vollstreckbarkeit im Sinn von Art. 80 Abs. 1 SchKG - und damit auch den Nachweis der Zustellung - zu erbringen. Eine Rechtskraftbescheinigung vermag die nicht gehörige Eröffnung nicht zu heilen ( BGE 105 III 43 E. 2b S. 45 f.; Urteil 5A_264/2007 vom 25. Januar 2008 E. 3.3, in: Pra 2008 Nr. 78 S. 520). Nach der Rechtsprechung ist eine Partei, die zwar nicht den ursprünglichen Entscheid, aber zu einem späteren Zeitpunkt unter Hinweis darauf eine Mahnung erhält, nach Treu und Glauben verpflichtet, Erkundigungen einzuholen und gegebenenfalls Rechtsmittel zu ergreifen; sie darf nicht zuwarten, bis sie betrieben wird. Ihr Untätigbleiben kann als Akzept gewertet werden, weshalb der formell nicht korrekt zugestellte Entscheid trotzdem rechtskräftig und vollstreckbar wird ( BGE 136 V 295 E. 5.9 S. 309 f.; BGE 105 III 43 E. 3 S. 46; Urteile 5P.176/2005 vom 19. Oktober 2005 E. 6; 5P.190/1999 vom 25. August 1999 E. 4a).</w:t>
      </w:r>
    </w:p>
    <w:p>
      <w:r>
        <w:rPr>
          <w:b/>
        </w:rPr>
        <w:t>E. 7.2</w:t>
      </w:r>
    </w:p>
    <w:p>
      <w:r>
        <w:t>In tatsächlicher Hinsicht ist unbestritten und steht fest, dass es am Nachweis der Zustellung der Rückerstattungsverfügung vom 26. September 2011 fehlte, dass der Beschwerdeführer aber die Mahnung vom 7. Mai 2012 erhielt, dass diese ausdrücklich auf die Rückerstattungsverfügung vom 26. September 2011 Bezug nahm und dass der Beschwerdeführer darauf nicht bzw. erst im Rechtsöffnungsverfahren reagierte. Die Vorinstanz ging trotz mangelnden Nachweises der Zustellung der Rückerstattungsverfügung vom 26. September 2011 von einem rechtskräftigen und vollstreckbaren Entscheid aus. Damit liegt sie auf der Linie der bisherigen Rechtsprechung. Der angefochtene Entscheid ist daher unter grundrechtlichen Aspekten nicht zu beanstanden; Willkür liegt weder in der Begründung noch im Ergebnis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