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w:t>
      </w:r>
    </w:p>
    <w:p>
      <w:r>
        <w:t>Bundesgericht (BGE), 2015-02-04, FR</w:t>
      </w:r>
    </w:p>
    <w:p>
      <w:r>
        <w:rPr>
          <w:b/>
        </w:rPr>
        <w:t xml:space="preserve">Quelle: </w:t>
      </w:r>
      <w:r>
        <w:t>https://mcp.opencaselaw.ch/entscheid/bge_BGE_141_I_1</w:t>
      </w:r>
    </w:p>
    <w:p>
      <w:r>
        <w:t>FR: ATF 141 I 1</w:t>
      </w:r>
    </w:p>
    <w:p>
      <w:r>
        <w:t>IT: DTF 141 I 1</w:t>
      </w:r>
    </w:p>
    <w:p>
      <w:pPr>
        <w:pStyle w:val="Heading2"/>
      </w:pPr>
      <w:r>
        <w:t>Regeste</w:t>
      </w:r>
    </w:p>
    <w:p>
      <w:r>
        <w:t>Regeste Art. 8 Abs. 1 und 2, Art. 41 Abs. 1 lit. e und Abs. 4 BV; Art. 39A des Gesetzes des Kantons Genf vom 4. Dezember 1977 über das Wohnungswesen und den Mieterschutz; Aufhebung des Anspruches auf Mietbeihilfen für Bezüger von Ergänzungsleistungen zur AHV/IV. Das im genferischen Recht enthaltene Verbot der Kumulation von Mietbeihilfen und bundes- sowie kantonalrechtlichen Ergänzungsleistungen zur Alters-, Hinterlassenen- und Invalidenversicherung ist nicht bundesrechtswidrig (E. 5).</w:t>
      </w:r>
    </w:p>
    <w:p>
      <w:r>
        <w:t>Regeste Art. 8 al. 1 et 2, art. 41 al. 1 let. e et al. 4 Cst.; art. 39A de la loi générale du canton de Genève du 4 décembre 1977 sur le logement et la protection des locataires; suppression du droit à l'allocation de logement pour les bénéficiaires de prestations complémentaires à l'AVS/AI. L'interdiction de cumuler l'allocation de logement et les prestations complémentaires fédérales et cantonales à l'assurance-vieillesse, survivants et invalidité, prévue par le droit genevois, n'est pas contraire au droit fédéral (consid. 5).</w:t>
      </w:r>
    </w:p>
    <w:p>
      <w:r>
        <w:t>Regesto Art. 8 cpv. 1 e 2, art. 41 cpv. 1 lett. e e cpv. 4 Cost.; art. 39A della legge generale del Canton Ginevra del 4 dicembre 1977 sull'alloggio e la protezione degli inquilini; soppressione del diritto all'assegno per l'alloggio per i beneficiari di prestazioni complementari all'AVS/AI. Il divieto previsto dal diritto ginevrino di cumulare l'assegno per l'alloggio e le prestazioni complementari di diritto federale e cantonale all'assicurazione per la vecchiaia, i superstiti e l'invalidità non è contrario al diritto federale (consid. 5).</w:t>
      </w:r>
    </w:p>
    <w:p>
      <w:pPr>
        <w:pStyle w:val="Heading2"/>
      </w:pPr>
      <w:r>
        <w:t>Erwägungen</w:t>
      </w:r>
    </w:p>
    <w:p>
      <w:r>
        <w:rPr>
          <w:b/>
        </w:rPr>
        <w:t>E. 3</w:t>
      </w:r>
    </w:p>
    <w:p>
      <w:r>
        <w:t>Le Conseil d'Etat détermine les conditions auxquelles le locataire a droit à une allocation, ainsi que le calcul de celle-ci.</w:t>
      </w:r>
    </w:p>
    <w:p>
      <w:r>
        <w:rPr>
          <w:b/>
        </w:rPr>
        <w:t>E. 4</w:t>
      </w:r>
    </w:p>
    <w:p>
      <w:r>
        <w:t>Le cumul entre l'allocation de logement et les prestations complémentaires fédérales et cantonales à l'assurance-vieillesse, survivants et invalidité est exclu. BGE 141 I 1 S. 4 Les immeubles admis au bénéfice de la LGL sont les immeubles d'habitation bon marché (HBM), les immeubles d'habitation à loyers modérés (HLM) et les immeubles d'habitation mixte (HM), conformément à l'art. 16 al. 1 LGL. Selon l'art. 28 al. 1 du règlement d'exécution du 24 août 1992 de la loi générale sur le logement et la protection des locataires (RGL; rs/GE I 4 05.01), l'allocation est allouée du 1 er avril de chaque année au 31 mars de l'année suivante. Elle est proportionnelle au revenu et vise à ramener le taux d'effort du bénéficiaire au niveau fixé à l'art. 21 RGL (p. ex.: 26 % pour l'occupation d'un logement d'une pièce de plus que le nombre de personnes). Elle s'élève au maximum à 1'000 fr. la pièce par an et ne peut dépasser la moitié du loyer effectif (art. 24 al. 2 RGL). L'alinéa 4 de l'art. 39A LGL (interdiction du cumul avec les prestations complémentaires) a été introduit, avec effet au 1 er avril 2013, par la loi [de la République et canton de Genève] du 19 mai 2005 surle revenu déterminant unifié (LRDU; rs/GE J 4 06).</w:t>
      </w:r>
    </w:p>
    <w:p>
      <w:r>
        <w:rPr>
          <w:b/>
        </w:rPr>
        <w:t>E. 4.1</w:t>
      </w:r>
    </w:p>
    <w:p>
      <w:r>
        <w:t>Les personnes qui ont leur domicile et leur résidence habituelle ( art. 13 LPGA ; RS 830.1) en Suisse ont droit à des prestations complémentaires en application de la loi fédérale du 6 octobre 2006 sur les prestations complémentaires à l'AVS et à l'AI (loi sur les prestations complémentaires, LPC; RS 831.30) dès lors, notamment, qu'elles ont droit à une rente de l'assurance-invalidité ( art. 4 al. 1 LPC ). Le montant de la prestation complémentaire annuelle correspond à la part des dépenses reconnues qui excède les revenus déterminants ( art. 9 al. 1 LPC ). Font partie des dépenses reconnues les montants destinés à la couverture des besoins vitaux, soit, par année, 19'210 fr. pour les personnes seules, 28'815 fr. pour les couples, et 10'035 fr. pour les enfants ayant droit à une rente d'orphelin ou donnant droit à une rente pour enfant de l'AVS ou de l'AI ( art. 10 al. 1 let. a LPC ; montants valables pour l'année 2013). Le loyer d'un appartement et les frais accessoires sont pris en compte au titre de dépenses reconnues jusqu'à concurrence de 13'200 fr. pour les personnes seules et 15'000 fr. pour les couples et les personnes qui ont des enfants ayant droit à une rente d'orphelin ou donnant droit à une rente pour enfant de l'AVS ou de l'AI ( art. 10 al. 1 let. b LPC ).</w:t>
      </w:r>
    </w:p>
    <w:p>
      <w:r>
        <w:rPr>
          <w:b/>
        </w:rPr>
        <w:t>E. 4.2</w:t>
      </w:r>
    </w:p>
    <w:p>
      <w:r>
        <w:t>L' art. 2 al. 2 LPC prescrit que les cantons peuvent allouer des prestations allant au-delà de celles qui sont prévues par la loi et fixer les conditions d'octroi de ces prestations. Le canton de Genève a fait usage de cette faculté dans la LPCC/GE. C'est ainsi qu'au BGE 141 I 1 S. 5 niveau cantonal genevois, les dépenses reconnues sont plus élevées, en particulier le forfait pour la couverture des besoins vitaux ( art. 6 LPCC /GE en corrélation avec l'art. 3 al. 1 du règlement du 25 juin 1999 relatif aux prestations cantonales complémentaires à l'assurance-vieillesse et survivants et à l'assurance-invalidité [RPCC-AVS/AI; rs/GE J 4 25.03]). En revanche, le forfait pour le loyer d'un appartement et les frais accessoires y relatifs (13'200 fr., respectivement 15'000 fr.) est le même que celui fixé par le droit fédéral.</w:t>
      </w:r>
    </w:p>
    <w:p>
      <w:r>
        <w:rPr>
          <w:b/>
        </w:rPr>
        <w:t>E. 5.1</w:t>
      </w:r>
    </w:p>
    <w:p>
      <w:r>
        <w:t>Selon la feuille de calcul établie par le Service des prestations complémentaires, A.A. n'a pas droit à une prestation complémentaire en vertu du droit fédéral (LPC), le revenu déterminant (compte tenu d'un gain hypothétique de l'épouse) étant supérieur au montant des dépenses reconnues. En revanche, il a droit à une prestation complémentaire selon la LPCC/GE, compte tenu, en particulier, du forfait cantonal pour les besoins vitaux, plus élevé que le montant fixé par le droit fédéral. Aussi bien les premiers juges considèrent-ils qu'en tant que bénéficiaire de prestations complémentaires, l'intéressé n'a pas droit à une allocation de logement, conformément au texte clair de l'art. 39A al. 4 LGL.</w:t>
      </w:r>
    </w:p>
    <w:p>
      <w:r>
        <w:rPr>
          <w:b/>
        </w:rPr>
        <w:t>E. 5.2.1</w:t>
      </w:r>
    </w:p>
    <w:p>
      <w:r>
        <w:t>Les recourants se prévalent du principe de l'égalité de traitement ( art. 8 al. 1 Cst. ) et de l'interdiction de la discrimination ( art. 8 al. 2 Cst. ). Ils font valoir que l'art. 39A al. 4 LGL consacre une inégalité de traitement par rapport à des non-bénéficiaires de prestations complémentaires, lesquels peuvent prétendre, sous condition de ressources, à l'allocation de logement. Ils se plaignent d'une discrimination au détriment des personnes âgées ou invalides et de leur famille.</w:t>
      </w:r>
    </w:p>
    <w:p>
      <w:r>
        <w:rPr>
          <w:b/>
        </w:rPr>
        <w:t>E. 5.2.2</w:t>
      </w:r>
    </w:p>
    <w:p>
      <w:r>
        <w:t>Les prestations complémentaires de droit fédéral ont pour but de couvrir les besoins vitaux de manière appropriée ( art. 112a Cst. ; ATF 135 III 20 consid. 4.1 p. 21 s. et les références). La LPCC/GE, conçue également dans le but de compléter les ressources propres des ayants droit jusqu'à concurrence d'un certain montant, vise le même but ( ATF 135 III 20 précité consid. 4.6 p. 26). Comme le constatent les premiers juges, du droit aux prestations complémentaires découle un droit à diverses prestations à caractère social que l'on trouve disséminées dans différentes législations. Ainsi, l'art. 20 al. 1 let. b de la loi [de la République et canton de Genève] du 29 mai 1997 d'application de la loi fédérale sur l'assurance-maladie (LaLAMal; rs/GE J 3 05) BGE 141 I 1 S. 6 accorde aux assurés bénéficiaires des prestations complémentaires un droit à des subsides pour tous les membres de la famille correspondant au montant de leurs primes d'assurance obligatoire des soins si ce dernier ne dépasse pas la prime moyenne cantonale (cf. art. 22 al. 6 LaLAMal). De même, ils ont la possibilité de recevoir, moyennant participation financière aux coûts, un abonnement annuel "UNIRESO" des Transports publics genevois, valable sur le territoire cantonal ( art. 17 LPCC /GE). Enfin, les revenus qu'ils perçoivent en vertu de la LPC et de la LPCC/GE sont exonérés d'impôts (art. 27 let. i de la loi [de la République et canton de Genève] du 27 septembre 2009 sur l'imposition des personnes physiques [LIPP; rs/GE D 3 08]). Aussi bien les premiers juges considèrent-ils que la couverture des besoins vitaux des bénéficiaires de prestations complémentaires est considérée de manière globale et consolidée. Il s'agit d'un régime intégral dans lequel l'ensemble des besoins d'un ménage est pris en compte. Ce régime est censé se suffire à lui-même, sans nécessiter l'apport d'autres prestations catégorielles, telles que les allocations de logement. Ces motifs - qui justifient l'interdiction du cumul prévue par l'art. 39A al. 4 LGL - sont pertinents. Le seul fait que la dépense maximale pour le loyer selon la LPC (et la LPCC/GE) peut, selon les cas, être inférieure au montant du loyer effectif n'est pas discriminatoire par rapport aux personnes qui peuvent prétendre une allocation de logement. Le droit fédéral n'impose pas aux cantons l'obligation d'allouer des prestations complémentaires allant au-delà de celles qui sont prévues par la LPC. Ils ne sont pas davantage tenus d'accorder des allocations aux locataires qui ont des revenus modestes. S'il légifère dans ces domaines, le législateur cantonal dispose d'une grande latitude dans le choix des moyens à mettre en oeuvre et dans la définition du cercle des bénéficiaires. Il n'est certainement pas discriminatoire d'exclure du bénéfice d'une prestation catégorielle déterminée les personnes dont les besoins vitaux sont réputés couverts par les prestations d'assurances sociales et les régimes complémentaires qui leur sont associés. Les recourants ne démontrent en tout cas pas en quoi, globalement , ils seraient discriminés par rapport à des bénéficiaires potentiels de l'allocation. Ainsi, la comparaison qu'ils voudraient établir avec le régime applicable aux bénéficiaires de l'aide sociale (auxquels une allocation de logement peut être accordée), régime qui permet la prise en charge d'un loyer supérieur à 15'000 fr., n'est pas pertinente. Les forfaits mensuels pour l'entretien dans ce régime sont nettement BGE 141 I 1 S. 7 inférieurs aux montants destinés à la couverture des besoins vitaux dans le domaine des prestations complémentaires (cf. art. 2 du règlement d'exécution [de la République et canton de Genève] du 25 juillet 2007 de la loi sur l'insertion et l'aide sociale individuelle [RIASI; rs/GE J 4 04.01]). On ajoutera qu'en matière de prestations complémentaires, les revenus d'une activité lucrative (effective ou hypothétique) sont pris en compte dans le calcul du revenu déterminant jusqu'à concurrence des deux tiers seulement et pour autant qu'ils excèdent annuellement 1'000 fr. pour les personnes seules et 1'500 fr. pour les couples et les personnes qui ont des enfants ayant droit à une rente d'orphelin ou donnant droit à une rente pour enfant de l'AVS ou de l'AI ( art. 11 al. 1 let. a LPC et art. 3 LPCC /GE a contrario). A ce propos d'ailleurs, on note que si la situation financière des recourants est critique, cela est aussi dû au fait que l'épouse n'exerce pas d'activité professionnelle et que le service des prestations complémentaires a pris en compte - sans que cela soit contesté - un revenu hypothétique annuel net de 20'702 fr. qu'elle aurait pu réaliser en mettant à profit sa capacité de travail (cf. à ce sujet ATF 140 V 433 consid. 4.5 p. 439).</w:t>
      </w:r>
    </w:p>
    <w:p>
      <w:r>
        <w:rPr>
          <w:b/>
        </w:rPr>
        <w:t>E. 5.3.1</w:t>
      </w:r>
    </w:p>
    <w:p>
      <w:r>
        <w:t>Les recourants se prévalent du principe de proportionnalité. La suppression automatique de l'allocation, sans examen concret de leur situation financière réelle, violerait ce principe, qui postule que l'activité de l'Etat soit proportionnée au but visé. En raison de l'art. 39A al. 4 LGL, l'allocation de logement ne serait plus une subvention efficace puisqu'elle n'atteindrait plus son but d'aide au logement pour les personnes nécessiteuses lorsque leur loyer dépasse le barème appliqué pour les prestations complémentaires.</w:t>
      </w:r>
    </w:p>
    <w:p>
      <w:r>
        <w:rPr>
          <w:b/>
        </w:rPr>
        <w:t>E. 5.3.2</w:t>
      </w:r>
    </w:p>
    <w:p>
      <w:r>
        <w:t>Ce moyen n'est pas fondé. Le principe de proportionnalité, dont la violation peut être invoquée de manière indépendante dans un recours en matière de droit public (cf. art. 95 al. 1 let. a LTF ; ATF 140 I 257 consid. 6.3.1 p. 267; ATF 134 I 153 consid. 4.1 p. 156 et les références citées) commande que la mesure étatique soit nécessaire et apte à atteindre le but prévu et qu'elle soit raisonnable pour la personne concernée ( ATF 140 I 257 précité consid. 6.3.1 p. 267 s.; ATF 140 II 194 consid. 5.8.2 p. 199). Ce principe peut aussi trouver application en matière de fourniture de prestations étatiques (ou "administration des prestations"; ATF 132 V 215 consid. 3.2.2 p. 221; BENJAMIN SCHINDLER, in Die schweizerische Bundesverfassung, Kommentar, 3 e éd. 2014, n° 49 ad art. 5 Cst. ). Le Tribunal fédéral a toutefois précisé que, lorsqu'il examine le droit cantonal indépendamment de BGE 141 I 1 S. 8 toute atteinte à un droit fondamental, il ne revoit pas le respect du principe de la proportionnalité librement, mais seulement sous l'angle de l'arbitraire ( ATF 139 II 7 consid. 7.3 p. 28; ATF 134 I 153 précité consid. 4.3 p. 158). L'atteinte au principe de la proportionnalité soulevée ici se confond donc avec le grief d'arbitraire. Les recourants n'exposent pas en quoi la suppression de l'allocation litigieuse, conforme à la loi, serait arbitraire. Leur argumentation est ici insuffisante au regard des exigences de l' art. 106 al. 2 LTF . Au demeurant, on ne voit pas que le principe de l'interdiction de l'arbitraire serait violé dès lors que rien n'empêche le législateur cantonal, on l'a vu, de limiter l'allocation de logement à des personnes de condition modeste qui ne bénéficient pas déjà de prestations sociales destinées à garantir leurs besoins d'existence.</w:t>
      </w:r>
    </w:p>
    <w:p>
      <w:r>
        <w:rPr>
          <w:b/>
        </w:rPr>
        <w:t>E. 5.4</w:t>
      </w:r>
    </w:p>
    <w:p>
      <w:r>
        <w:t>Les recourants se prévalent d'autre part du droit au logement garanti par l'art. 38 de la Constitution de la République et canton de Genève du 14 octobre 2012 (Cst./GE; rs/GE A 2 00). Le point de savoir si cette disposition constitutionnelle confère un droit directement invocable en justice, comme le prétendent les recourants, ou si, comme le soutient l'intimé, il s'agit d'une norme à caractère programmatique, qui vise seulement à conduire l'action des pouvoirs publics, peut demeurer indécis. En effet, on ne voit pas d'emblée en quoi la garantie déduite de cette disposition s'appliquerait aux recourants, lesquels n'établissent aucunement qu'ils n'ont pas la possibilité d'obtenir un logement. L'office intimé relève d'ailleurs à ce propos qu'il existe des logements subventionnés sous le régime HBM avec un loyer correspondant à la limite des loyers pris en considération par le Service des prestations complémentaires, sans compter les logements en mains de fondations communales ou de la Ville de Genève.</w:t>
      </w:r>
    </w:p>
    <w:p>
      <w:r>
        <w:rPr>
          <w:b/>
        </w:rPr>
        <w:t>E. 5.5</w:t>
      </w:r>
    </w:p>
    <w:p>
      <w:r>
        <w:t>Enfin, c'est également en vain que les recourants invoquent l' art. 41 al. 1 let . e Cst., selon lequel la Confédération et les cantons s'engagent, en complément de la responsabilité individuelle et de l'initiative privée, à ce que toute personne en quête d'un logement puisse trouver, pour elle-même et sa famille, un logement approprié à des conditions supportables. Cette disposition impartit à l'Etat un mandat, sous la forme d'objectifs à atteindre en matière de politique du logement. Elle s'inscrit dans les buts sociaux énoncés à l' art. 41 Cst. , qui ne donnent toutefois aucun droit subjectif à des prestations de l'Etat ( art. 41 al. 4 Cst. ): de nature programmatique, ils sont dépourvus de caractère "self executing" et ne peuvent pas être invoqués au titre de droits fondamentaux (voir p. ex. ATF 129 I 12 consid. 4.4 p. 17). L' art. 41 Cst. est concrétisé, il est vrai, par quelques BGE 141 I 1 S. 9 dispositions figurant parmi les droits fondamentaux, qui accordent aux particuliers, dans des domaines déterminés, un véritable droit, justiciable, à des prestations (PASCAL MAHON, in Petit Commentaire de la Constitution fédérale de la Confédération suisse du 18 avril 1999, 2003, n° 3 ad art. 41 Cst. ). Il en est ainsi, par exemple, du droit d'obtenir de l'aide dans des situations de détresse ( art. 12 Cst. ). Or, dans le cas particulier, les recourants ne prétendent pas que la suppression de l'allocation litigieuse porte atteinte à leur droit à des conditions minimales d'existence au sens de cette disposition constitutionnelle.</w:t>
      </w:r>
    </w:p>
    <w:p>
      <w:r>
        <w:rPr>
          <w:b/>
        </w:rPr>
        <w:t>E. 5.6</w:t>
      </w:r>
    </w:p>
    <w:p>
      <w:r>
        <w:t>Les moyens des recourants se révélant mal fondés et compte tenu du texte clair de l'art. 39A al. 4 LGL, on ne voit pas qu'il y ait place, contrairement à ce que voudraient les recourants, pour une interprétation conforme au droit fédéral. Sans plus de motivation, un tel grief est au demeurant irrecevable ( art. 42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