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437</w:t>
      </w:r>
    </w:p>
    <w:p>
      <w:r>
        <w:t>Bundesgericht (BGE), 2015-12-02, DE</w:t>
      </w:r>
    </w:p>
    <w:p>
      <w:r>
        <w:rPr>
          <w:b/>
        </w:rPr>
        <w:t xml:space="preserve">Quelle: </w:t>
      </w:r>
      <w:r>
        <w:t>https://mcp.opencaselaw.ch/entscheid/bge_BGE_141_IV_437</w:t>
      </w:r>
    </w:p>
    <w:p>
      <w:r>
        <w:t>FR: ATF 141 IV 437</w:t>
      </w:r>
    </w:p>
    <w:p>
      <w:r>
        <w:t>IT: DTF 141 IV 437</w:t>
      </w:r>
    </w:p>
    <w:p>
      <w:pPr>
        <w:pStyle w:val="Heading2"/>
      </w:pPr>
      <w:r>
        <w:t>Regeste</w:t>
      </w:r>
    </w:p>
    <w:p>
      <w:r>
        <w:t>Regeste Art. 181 StGB; Nötigung durch Stalking. Belästigt der Täter das Opfer vielfach und über längere Dauer, ist mit der Zeit jede einzelne Handlung geeignet, die Handlungsfreiheit des Opfers derart einzuschränken, dass ihr eine mit Gewalt oder Drohung vergleichbare Zwangswirkung zukommt (Bestätigung der Rechtsprechung; E. 3.2). Widerrechtlichkeit der Einschränkung der Handlungsfreiheit und mehrfach versuchte Nötigung vorliegend bejaht (E. 3.3).</w:t>
      </w:r>
    </w:p>
    <w:p>
      <w:r>
        <w:t>Regeste Art. 181 CP; contrainte par stalking. Lorsque l'auteur importune la victime de manière répétée durant une période prolongée, chaque acte devient, au fil du temps, susceptible de déployer sur la liberté d'action de la victime un effet d'entrave comparable à celui de la violence ou de la menace (confirmation de la jurisprudence; consid. 3.2). Illicéité de l'entrave à la liberté d'action et tentative répétée de contrainte admises en l'espèce (consid. 3.3).</w:t>
      </w:r>
    </w:p>
    <w:p>
      <w:r>
        <w:t>Regesto Art. 181 CP; coazione mediante stalking. Quando l'autore importuna ripetutamente la vittima per un periodo prolungato, con il tempo ogni singola molestia diventa idonea a intralciare la libertà d'agire della vittima al punto da esplicare un effetto coercitivo paragonabile alla violenza o alla minaccia (conferma della giurisprudenza; consid. 3.2). Illiceità della limitazione della libertà d'agire e ripetuta tentata coazione ammesse nel caso concreto (consid. 3.3).</w:t>
      </w:r>
    </w:p>
    <w:p>
      <w:pPr>
        <w:pStyle w:val="Heading2"/>
      </w:pPr>
      <w:r>
        <w:t>Erwägungen</w:t>
      </w:r>
    </w:p>
    <w:p>
      <w:r>
        <w:rPr>
          <w:b/>
        </w:rPr>
        <w:t>E. 3</w:t>
      </w:r>
    </w:p>
    <w:p>
      <w:r>
        <w:t>Die Beschwerdeführerin wendet sich gegen den Schuldspruch der mehrfachen versuchten Nötigung. Die Vorinstanz habe sie unter BGE 141 IV 437 S. 439 Berufung auf BGE 129 IV 262 für jeden einzelnen Kontaktversuch mit dem Beschwerdegegner wegen versuchter Nötigung verurteilt. Selbst wenn davon ausgegangen werde, dass gewisse "Stalking"-Formen vom Anwendungsbereich von Art. 181 StGB erfasst sein könnten, erreichten ihre einzelnen Handlungen isoliert betrachtet nicht die erforderliche Intensität für eine Verurteilung wegen versuchter Nötigung im Sinne von Art. 181 StGB . Dies gelte insbesondere hinsichtlich der ihr in der ergänzenden Anklageschrift vom 29. Mai 2013 vorgeworfenen drei Vorfälle.</w:t>
      </w:r>
    </w:p>
    <w:p>
      <w:r>
        <w:rPr>
          <w:b/>
        </w:rPr>
        <w:t>E. 3.1</w:t>
      </w:r>
    </w:p>
    <w:p>
      <w:r>
        <w:t>Die Vorinstanz erwägt, nachdem der Beschwerdegegner ihre Beziehung beendet habe, habe die Beschwerdeführerin im Mai 2012 damit begonnen, ihn durch unzählige unerwünschte E-Mails zu belästigen, ihm Postkarten, Briefe und Pakete zu schicken und auch seine Ehefrau sowie zahlreiche Personen aus seinem erweiterten Bekanntenkreis einschliesslich Arbeitgeber und Mitarbeitende per E-Mail mit Informationen über ihn und sein "Doppelleben" einzudecken. Ausserdem habe sie wohl im August 2012 begonnen, Informationen über ihn sowie private/intime E-Mails von ihm auf Facebook zu stellen, wo diese für ihre rund 900 "Freunde" einsehbar gewesen seien. Am 25. August 2012 habe sie erstmals die Wohngegend des Beschwerdegegners mit Dutzenden von kopierten und kommentierten Klassenfotos übersät. Mit all diesen Handlungen habe sie das Ziel verfolgt, den Beschwerdegegner zu einem "letzten Gespräch unter vier Augen" zu zwingen. Am 2. September 2012 habe sie den Beschwerdegegner im Theater bis auf die Toilette verfolgt und mehrfach versucht, ihn festzuhalten, um ihn zu einem Gespräch über ihre Beziehung zu zwingen. Staatsanwaltschaft und erste Instanz würden die Handlungen erst ab dem 6. August 2012 als versuchte Nötigung qualifizieren. Zu dieser Zeit, über zwei Monate nach Beginn des Stalking, hätten die Belästigungen bereits das Ausmass eines eigentlichen Psychoterrors erreicht und das Leben des Beschwerdegegners in allen Facetten massiv beeinträchtigt. Ab diesem Zeitpunkt sei somit jedem weiteren Einzelakt - indem er den Effekt der bereits vorangegangenen Akte verstärkt und den Druck auf den Beschwerdegegner erhöht habe - ein Gewicht zugekommen, das in seinen Auswirkungen der Gewalt oder der Androhung ernstlicher Nachteile gleichkomme. Soweit die Beschwerdeführerin die Veröffentlichung privater und intimer Details ihrer Beziehung oder privater E-Mails des Beschwerdegegners für den Fall, dass er sich weiterhin einem Gespräch verweigern würde, BGE 141 IV 437 S. 440 erst angedroht habe, sei das Nötigungsmittel der Androhung ernstlicher Nachteile erfüllt gewesen. Die Verwirklichung dieser Drohung stelle zweifellos ein noch stärkeres Nötigungsmittel dar und erfülle daher die Tatbestandsvariante der "anderen Beschränkung der Handlungsfreiheit". Dasselbe gelte für die direkten Belästigungen durch E-Mails, Briefe, unerwünschte Geschenke etc., Schmierereien an den Briefkästen, die Annäherungen und Konfrontationen am Wohnort des Beschwerdegegners und in der Öffentlichkeit, namentlich auch für die Konfrontationen am 11. April 2013 sowie am 1. Mai 2013. Angesichts der Vorgeschichte und deren Auswirkungen auf die Psyche des Beschwerdegegners habe der Umstand, dass sich die Beschwerdeführerin ihm im Theater in den Weg stellte, ausgereicht, um bei ihm eine "Retraumatisierung" auszulösen und seine Handlungsfähigkeit im Sinne von Art. 181 StGB zu beschränken. Jeder dieser Einzelakte sei zudem explizit oder implizit mit der Drohung versehen gewesen, dass die Beschwerdeführerin den Beschwerdegegner erst in Ruhe lasse, wenn er mit ihr spreche. Damit komme jedem in der Anklageschrift umschriebenen Einzelakt nötigender Charakter zu, und verletze jeder die von Art. 28 ZGB geschützte Persönlichkeitssphäre des Beschwerdegegners massiv. Ausserdem seien diese Eingriffe in einem absoluten Missverhältnis zum Ziel der Beschwerdeführerin gestanden. Da sich der Beschwerdegegner dem geforderten Gespräch beharrlich verweigert habe, liege in allen Fällen bloss ein Nötigungsversuch vor.</w:t>
      </w:r>
    </w:p>
    <w:p>
      <w:r>
        <w:rPr>
          <w:b/>
        </w:rPr>
        <w:t>E. 3.2.1</w:t>
      </w:r>
    </w:p>
    <w:p>
      <w:r>
        <w:t>Gemäss Art. 181 StGB wird wegen Nötigung bestraft, wer jemanden durch Gewalt oder Androhung ernstlicher Nachteile oder durch andere Beschränkung seiner Handlungsfreiheit nötigt, etwas zu tun, zu unterlassen oder zu dulden. Schutzobjekt von Art. 181 StGB ist die Freiheit der Willensbildung und Willensbetätigung des Einzelnen ( BGE 134 IV 216 E. 4.4.3; BGE 129 IV 6 E. 2.1, BGE 129 IV 262 E. 2.1). Diese ist strafrechtlich unabhängig von der Art der (legalen) Tätigkeit geschützt, welche der Betroffene nach seinem frei gebildeten Willen verrichten will ( BGE 134 IV 216 E. 4.4.3). Der Tatbestand ist ein Erfolgsdelikt; die Anwendung des Nötigungsmittels muss den Betroffenen in seiner Handlungsfreiheit beeinträchtigen (Urteil 6B_819/2010 vom 3. Mai 2011 E. 5.1). Um dem gesetzlichen und verfassungsmässigen Bestimmtheitsgebot ("nullum crimen sine lege") gerecht zu werden, ist die Tatbestandsvariante der "anderen Beschränkung der Handlungsfreiheit" in BGE 141 IV 437 S. 441 Art. 181 StGB restriktiv auszulegen. Nicht jeder noch so geringfügige Druck auf die Entscheidungsfreiheit eines andern führt zu einer Bestrafung nach Art. 181 StGB .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Es muss ihnen mithin eine den gesetzlich genannten Mitteln vergleichbare Zwangswirkung zukommen (vgl. BGE 137 IV 326 E. 3.3.1; BGE 134 IV 216 E. 4.1 mit Hinweisen). Es führt somit nicht jeder noch so geringfügige Druck auf die Entscheidungsfreiheit eines andern zu einer Bestrafung nach Art. 181 StGB (zum Ganzen: BGE 129 IV 262 E. 2.1; BGE 119 IV 301 E. 2a; je mit Hinweisen; Urteil 6B_819/2010 vom 3. Mai 2011 E. 5.3, insbesondere E. 5.4 mit verschiedenen Beispielen aus der Rechtsprechung).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137 IV 326 E. 3.3.1; BGE 134 IV 216 E. 4.1; BGE 129 IV 6 E. 3.4, BGE 129 IV 262 E. 2.1; BGE 119 IV 301 E. 2b; je mit Hinweisen).</w:t>
      </w:r>
    </w:p>
    <w:p>
      <w:r>
        <w:rPr>
          <w:b/>
        </w:rPr>
        <w:t>E. 3.2.2</w:t>
      </w:r>
    </w:p>
    <w:p>
      <w:r>
        <w:t>Das in der Anklageschrift geschilderte und von der Beschwerdeführerin nicht bestrittene Verhalten wird in der neueren kriminologischen Forschung als sog. Stalking (zwanghaftes Verfolgen einer Person) bezeichnet. Der Begriff wurde Ende der Achtzigerjahre in den USA eingeführt, um das immer häufiger beobachtete Phänomen des zwanghaften Verfolgens und Belästigens einer Person zu erfassen. Heute gelten als typische Merkmale des Stalking das Ausspionieren, fortwährende Aufsuchen physischer Nähe (Verfolgen), Belästigen und Bedrohen eines anderen Menschen, wobei das fragliche Verhalten mindestens zweimal vorkommen und beim Opfer starke Furcht hervorrufen muss. Nach den bisherigen Erkenntnissen kann das Stalking verschiedene Ursachen und Erscheinungsformen aufweisen. Häufig bezweckt es Rache für empfundenes Unrecht, oder es wird damit Nähe, Liebe und Zuneigung einer Person, nach einer Trennung auch Kontrolle und Wiederaufnahme einer Beziehung gesucht. Das Stalking kann lange - nicht selten über ein Jahr - andauern und bei den Opfern gravierende psychische Beeinträchtigungen hervorrufen. Charakteristisch ist stets, dass viele Einzelhandlungen BGE 141 IV 437 S. 442 erst durch ihre Wiederholung und Kombination zum Stalking werden ( BGE 129 IV 262 E. 2.3 mit Hinweisen; Urteil 6B_819/2010 vom 3. Mai 2011 E. 6.1). In der Schweiz fehlt ein spezieller Straftatbestand des Stalking, der das belästigende und bedrohende Verhalten in seiner Gesamtheit unter Strafe stellt (vgl. hierzu JÖRG KINZIG, Die Strafbarkeit von Stalking in Deutschland - Vorbild für die Schweiz?, recht 01/2011 S. 1 ff.). Ein Versuch, Stalking unter Strafe zu stellen und das Strafgesetzbuch mit einem entsprechenden Artikel zu ergänzen, ist im Ständerat gescheitert. Der Grund dafür liegt jedoch nicht darin, dass Stalking nicht als strafwürdig befunden würde. Vielmehr waren Stände- und Bundesrat - der Nationalrat hat die Motion angenommen - der Ansicht, dass die beim Stalking typischen Verhaltensweisen durch andere Straftatbestände ausreichend abgedeckt sind (siehe AB 2010 S 869 f. und Antwort des Bundesrates vom 19. November 2008 auf die Motion 08.3495 Stalking). Dazu zählen beispielsweise Verletzung der Geheim- oder Privatsphäre ( Art. 179 ff. StGB ), Missbrauch einer Fernmeldeanlage ( Art. 179 septies StGB ), Drohung ( Art. 180 StGB ) und Hausfriedensbruch ( Art. 186 StGB ). Auch ist das für Stalking typische Verhalten gemäss bundesgerichtlicher Rechtsprechung unter gewissen Voraussetzungen als Nötigung ( Art. 181 StGB ) zu qualifizieren (vgl. BGE 129 IV 262 ). Gestützt auf den seit 1. Juli 2007 in Kraft stehenden Art. 28b ZGB kann die von der Nachstellung betroffene Person überdies beim Gericht u.a. beantragen, der verletzenden Person - unter Strafandrohung nach Art. 292 StGB (Ungehorsam gegen amtliche Verfügungen) - insbesondere zu verbieten, sich ihr anzunähern, sich in einem bestimmten Umkreis ihrer Wohnung oder an bestimmten Orten aufzuhalten oder mit ihr Kontakt aufzunehmen oder sie in anderer Weise zu belästigen. Anders als beim Tatbestand des Stalking, wie ihn andere Rechtsordnungen kennen, sind bei der Nötigung die einzelnen Tathandlungen und nicht das Gesamtverhalten der beschuldigten Person zu beurteilen. Vorausgesetzt wird, dass eine einzelne nötigende Handlung das Opfer zu einem Tun, Dulden oder Unterlassen zwingt. Der damit bezeichnete Erfolg muss als Resultat eines näher bestimmten nötigenden Verhaltens feststehen. Die Berufung auf die Gesamtheit mehrerer Handlungen genügt hierfür nicht. Jedoch sind die einzelnen Tathandlungen unter Berücksichtigung der gesamten Umstände, namentlich der Vorgeschichte der fraglichen Handlungen, zu würdigen. Kommt es während längerer Zeit zu einer Vielzahl von BGE 141 IV 437 S. 443 Belästigungen, kumulieren sich deren Einwirkungen. Ist eine gewisse Intensität erreicht, kann jede einzelne Handlung, die für sich alleine den Anforderungen von Art. 181 StGB noch nicht genügen würde, geeignet sein, die Handlungsfreiheit der betroffenen Person in dem Mass einzuschränken, dass ihr eine mit Gewalt oder Drohung vergleichbare Zwangswirkung zukommt (vgl. BGE 129 IV 262 E. 2.4 f.).</w:t>
      </w:r>
    </w:p>
    <w:p>
      <w:r>
        <w:rPr>
          <w:b/>
        </w:rPr>
        <w:t>E. 3.3</w:t>
      </w:r>
    </w:p>
    <w:p>
      <w:r>
        <w:t>Die vorinstanzliche Würdigung ist bundesrechtskonform. Die Handlungen der Beschwerdeführerin bedeuteten für den Beschwerdegegner zweifellos einen ernstlichen Nachteil, indem sie private sowie intime Details ihrer Beziehung publik machte und ihre E-Mails nicht nur dem Beschwerdegegner, sondern auch Personen aus dessen privaten und beruflichen Umfeld zukommen liess. Dasselbe gilt hinsichtlich ihren übrigen Handlungen wie den Facebook-Einträgen, den Sendungen und Geschenken, den Graffitis sowie des Verteilens von Flugblättern. Diese in der Öffentlichkeit verbreiteten Mitteilungen bedeuteten für den Beschwerdegegner eine massive Demütigung. Er musste bei jeder Aktion der Beschwerdeführerin damit rechnen, dass nicht nur er, sondern auch Dritte mit ihren Botschaften oder Sachbeschädigungen (Verunstaltung der Briefkästen und des Eingangsbereichs des Mehrfamilienhauses des Beschwerdegegners mit Farbschmierereien) behelligt würden. Die der Beschwerdeführerin vorgeworfenen Handlungen gingen weit über eine blosse Störung hinaus und waren für den Beschwerdegegner mit der Zeit derart belastend, dass sich dieser gezwungen sah, beim Zivilgericht Basel-Stadt vorsorglich ein Kontakt- und Annäherungsverbot zu erwirken, welches die Beschwerdeführerin aber nicht von weiteren Belästigungen abhielt. Wie die Vorinstanz zutreffend erwägt, nahmen die zahlreichen Handlungen der Beschwerdeführerin mit der Zeit eine Intensität an, welche die Handlungsfreiheit des Beschwerdegegners erheblich einschränkte und das üblicherweise geduldete Mass an Beeinflussung in ähnlicher Weise überschritt, wie es für die vom Gesetz ausdrücklich genannte Gewalt und die Androhung ernstlicher Nachteile gilt. Intensität und Dauer der Belästigungen waren für den Beschwerdegegner derart belastend, dass er als Folge krank bzw. arbeitsunfähig wurde und sich sogar gezwungen sah, während einer gewissen Zeit den Wohnort zu wechseln. Entgegen dem Eventualbegehren der Beschwerdeführerin gilt dies auch für ihre Handlungen im Frühjahr 2013, die in der ergänzenden Anklageschrift vom 29. Mai 2013 umschrieben sind. Obwohl es zuvor während mehrerer Monate zu keinen Zwischenfällen gekommen BGE 141 IV 437 S. 444 war, schränkte jeder einzelne der drei Vorfälle im Jahr 2013 die Handlungsfähigkeit des Beschwerdegegners ein. Zu Recht berücksichtigt die Vorinstanz auch bei der Beurteilung dieser Vorfälle die Vorgeschichte. Wie sie zutreffend erwägt, reichten die kurzen und für Ausstehende zufällig sowie harmlos erscheinenden Begegnungen aufgrund der früheren Ereignisse aus, um den Beschwerdegegner erneut zu traumatisieren. Soweit die Beschwerdeführerin in ihrer Replik sinngemäss neu vorbringt, die Vorinstanz habe bezüglich der drei Vorfälle im Jahr 2013 zu Unrecht ihren Antrag auf Einvernahme von zwei Zeugen abgewiesen, ist darauf infolge Verspätung nicht einzutreten (vgl. Art. 100 Abs. 1 BGG ). Aufgrund der gesamten Umstände schränkte jede der angeklagten Handlungen der Beschwerdeführerin die Handlungsfreiheit des Beschwerdegegners im Sinne von Art. 181 StGB ein. Die Vorinstanz bejaht auch zutreffend die Rechtswidrigkeit, da das Verhalten der Beschwerdeführerin die Persönlichkeitssphäre des Beschwerdegegners verletzte. Zudem verstiess die Beschwerdeführerin mit einigen ihrer Handlungen gegen die Verfügung des Zivilgerichts Basel-Stadt vom 3. September 2012. Auch stellten die Sachbeschädigungen ein unrechtmässiges Nötigungsmittel dar. Schliesslich stand das zur Beschränkung der Handlungsfreiheit eingesetzte Mittel in einem offensichtlichen Missverhältnis zum verfolgten Zweck.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