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423</w:t>
      </w:r>
    </w:p>
    <w:p>
      <w:r>
        <w:t>Bundesgericht (BGE), 2015-11-05, DE</w:t>
      </w:r>
    </w:p>
    <w:p>
      <w:r>
        <w:rPr>
          <w:b/>
        </w:rPr>
        <w:t xml:space="preserve">Quelle: </w:t>
      </w:r>
      <w:r>
        <w:t>https://mcp.opencaselaw.ch/entscheid/bge_BGE_141_IV_423</w:t>
      </w:r>
    </w:p>
    <w:p>
      <w:r>
        <w:t>FR: ATF 141 IV 423</w:t>
      </w:r>
    </w:p>
    <w:p>
      <w:r>
        <w:t>IT: DTF 141 IV 423</w:t>
      </w:r>
    </w:p>
    <w:p>
      <w:pPr>
        <w:pStyle w:val="Heading2"/>
      </w:pPr>
      <w:r>
        <w:t>Regeste</w:t>
      </w:r>
    </w:p>
    <w:p>
      <w:r>
        <w:t>Regeste a Personal Unblocking Key (PUK); Art. 269 und 272 StPO. Der PUK, der das Auslesen der Daten von einer SIM-Karte ermöglicht, gehört nicht zu den unter das Fernmeldegeheimnis fallenden Verkehrsdaten, sondern zu den Bestandesdaten, die unabhängig von einem bestimmten Fernmeldeverkehr vorhanden sind. Die staatsanwaltschaftliche Aufforderung zur Herausgabe des PUK-Codes bedarf daher nicht der Genehmigung durch das Zwangsmassnahmengericht (E. 1).</w:t>
      </w:r>
    </w:p>
    <w:p>
      <w:r>
        <w:t>Regeste b Inhalt des Gutachtensauftrags, Hinweis auf die Straffolgen eines falschen Gutachtens (Art. 184 Abs. 2 lit. f StPO); dauernd bestellte oder amtliche Sachverständige (Art. 183 Abs. 2 StPO). Auch dauernd bestellte oder amtliche Sachverständige müssen auf die Straffolgen eines falschen Gutachtens hingewiesen werden. Die Vorschrift betreffend Belehrung ist jedenfalls insoweit lediglich eine Ordnungsvorschrift. Das Gutachten eines dauernd bestellten oder amtlichen Sachverständigen ist daher auch bei Fehlen der Belehrung verwertbar (E. 3).</w:t>
      </w:r>
    </w:p>
    <w:p>
      <w:r>
        <w:t>Regeste c Lebenslängliche Verwahrung (Art. 64 Abs. 1 bis StGB); besonders schwere Beeinträchtigung der physischen, psychischen oder sexuellen Integrität (Art. 64 Abs. 1 bis lit. a StGB); sexuelle Nötigung (Art. 189 Abs. 1 StGB). Durch die Straftat der sexuellen Nötigung wird die physische, psychische oder sexuelle Integrität des Opfers nicht eo ipso besonders schwer beeinträchtigt. Besonders schwere Beeinträchtigung im konkreten Fall verneint (E. 4.3.3-4.3.5).</w:t>
      </w:r>
    </w:p>
    <w:p>
      <w:r>
        <w:t>Regeste d Verbot der Folter oder unmenschlicher Strafen (Art. 3 EMRK); Recht auf Freiheit, Rechtmässigkeit des Freiheitsentzugs, Überprüfung durch das Gericht (Art. 5 Ziff. 4 EMRK). Offengelassen, ob die lebenslängliche Verwahrung mit der EMRK vereinbar ist. Offengelassen, ob die Frage der Vereinbarkeit bereits mit Beschwerde gegen die Anordnung der lebenslänglichen Verwahrung aufgeworfen werden kann oder erst dann, wenn der Verurteilte die Strafe verbüsst hat, sich im Vollzug der lebenslänglichen Verwahrung befindet und um Entlassung ersucht (E. 4.3.6).</w:t>
      </w:r>
    </w:p>
    <w:p>
      <w:r>
        <w:t>Regeste a Personal Unblocking Key (PUK); art. 269 et 272 CPP. Le PUK, qui permet la lecture des données d'une carte SIM, ne constitue pas une donnée soumise au secret des télécommunications; il s'agit d'une donnée fixe disponible indépendamment d'un quelconque trafic de télécommunications. L'ordre donné par le ministère public de fournir le code PUK n'est donc pas soumis à l'autorisation du tribunal des mesures de contrainte (consid. 1).</w:t>
      </w:r>
    </w:p>
    <w:p>
      <w:r>
        <w:t>Regeste b Contenu du mandat d'expertise, référence aux conséquences pénales d'un faux rapport d'expertise (art. 184 al. 2 let. f CPP); experts permanents ou experts officiels (art. 183 al. 2 CPP). Les experts permanents ou officiels doivent également être informés des conséquences pénales d'un faux rapport d'expertise. Dans ce cas de figure toutefois, l'obligation d'informer ne constitue qu'une prescription d'ordre. Ainsi, à défaut de cet avertissement, l'expertise d'un expert permanent ou officiel demeure exploitable (consid. 3).</w:t>
      </w:r>
    </w:p>
    <w:p>
      <w:r>
        <w:t>Regeste c Internement à vie (art. 64 al. 1 bis CP); atteinte particulièrement grave à l'intégrité physique, psychique ou sexuelle (art. 64 al. 1 bis let. a CP); contrainte sexuelle (art. 189 al. 1 CP). L'infraction de contrainte sexuelle n'implique pas eo ipso une atteinte particulièrement grave à l'intégrité physique, psychique ou sexuelle de la victime. En l'espèce, l'atteinte particulièrement grave n'est pas retenue (consid. 4.3.3-4.3.5).</w:t>
      </w:r>
    </w:p>
    <w:p>
      <w:r>
        <w:t>Regeste d Interdiction de la torture ou peines et traitements inhumains (art. 3 CEDH); droit à la liberté, légalité de la détention, contrôle par un tribunal (art. 5 par. 4 CEDH). La question de savoir si l'internement à vie est compatible avec la CEDH est laissée ouverte. La question de savoir si l'examen de cette compatibilité peut être requis au stade du recours contre le prononcé de l'internement à vie ou seulement au moment où le condamné a exécuté sa peine, se trouve en exécution de l'internement à vie et demande sa mise en liberté, est laissée ouverte (consid. 4.3.6).</w:t>
      </w:r>
    </w:p>
    <w:p>
      <w:r>
        <w:t>Regesto a Personal Unblocking Key (PUK); art. 269 e 272 CPP. Il PUK, che permette di accedere ai dati di una scheda SIM, non è un elemento tutelato dal segreto delle telecomunicazioni, ma costituisce un dato disponibile a prescindere da un qualsiasi traffico delle telecomunicazioni. L'ordine del ministero pubblico volto alla consegna del codice PUK non sottostà pertanto all'approvazione del giudice dei provvedimenti coercitivi (consid. 1).</w:t>
      </w:r>
    </w:p>
    <w:p>
      <w:r>
        <w:t>Regesto b Contenuto del mandato peritale, avvertimento circa le conseguenze penali di una falsa perizia (art. 184 cpv. 2 lett. f CPP); periti permanenti o ufficiali (art. 183 cpv. 2 CPP). Anche i periti permanenti o ufficiali devono essere avvertiti circa le conseguenze penali di una falsa perizia. In tal caso però l'obbligo di avvertimento costituisce una semplice prescrizione d'ordine. Di conseguenza, anche in assenza dell'avvertimento, il rapporto di un perito permanente o ufficiale può essere utilizzato (consid. 3).</w:t>
      </w:r>
    </w:p>
    <w:p>
      <w:r>
        <w:t>Regesto c Internamento a vita (art. 64 cpv. 1 bis CP); lesione particolarmente grave dell'integrità fisica, psichica o sessuale (art. 64 cpv. 1 bis lett. a CP); coazione sessuale (art. 189 cpv. 1 CP). La coazione sessuale non implica eo ipso una lesione particolarmente grave dell'integrità fisica, psichica o sessuale della vittima. Lesione particolarmente grave negata in concreto (consid. 4.3.3-4.3.5).</w:t>
      </w:r>
    </w:p>
    <w:p>
      <w:r>
        <w:t>Regesto d Divieto di tortura o di pene inumane (art. 3 CEDU); diritto alla libertà, legalità della detenzione, controllo giudiziario (art. 5 n. 4 CEDU). Lasciata irrisolta la questione di sapere se l'internamento a vita sia compatibile con la CEDU. Lasciata irrisolta la questione di sapere se l'esame di tale compatibilità possa essere richiesto già con il ricorso contro la decisione che ordina l'internamento a vita o solo nel momento in cui il condannato ha espiato la pena, si trova nella fase di esecuzione dell'internamento a vita e formula una domanda volta alla sua liberazione (consid. 4.3.6).</w:t>
      </w:r>
    </w:p>
    <w:p>
      <w:pPr>
        <w:pStyle w:val="Heading2"/>
      </w:pPr>
      <w:r>
        <w:t>Erwägungen</w:t>
      </w:r>
    </w:p>
    <w:p>
      <w:r>
        <w:rPr>
          <w:b/>
        </w:rPr>
        <w:t>E. 1.1</w:t>
      </w:r>
    </w:p>
    <w:p>
      <w:r>
        <w:t>Die Staatsanwaltschaft Basel-Stadt forderte mit Verfügung vom 2. März 2012 beim Dienst Überwachung Post- und Fernmeldeverkehr des Informatik Service Center (ISC-EJPD) Auskunft über den PUK-Code des Mobiltelefons des Beschwerdeführers. Sie erhielt den Code mit Fax-Schreiben des Providers vom 5. März 2012. Hierauf konnten das Mobiltelefon des Beschwerdeführers geöffnet und die darauf gespeicherten Daten gesichert und ausgewertet werden.</w:t>
      </w:r>
    </w:p>
    <w:p>
      <w:r>
        <w:rPr>
          <w:b/>
        </w:rPr>
        <w:t>E. 1.2</w:t>
      </w:r>
    </w:p>
    <w:p>
      <w:r>
        <w:t>Der Beschwerdeführer macht wie vorfrageweise im kantonalen Berufungsverfahren geltend, bei der Auskunft über den PUK-Code handle es sich um eine Überwachung des Post- und Fernmeldeverkehrs im Sinne von Art. 269 ff. StPO , welche gemäss Art. 272 Abs. 1 StPO der Genehmigung durch das Zwangsmassnahmengericht bedürfe. Da keine Genehmigung vorliege, seien die ab dem Mobiltelefon erhältlich gemachten Daten, unter anderem die zwischen ihm und einer Privatklägerin ausgetauschten SMS-Nachrichten, nicht verwertbar. Folgerichtig seien auch alle Antworten unverwertbar, welche die befragten Personen auf Vorhalt der Ergebnisse der Telefonauswertung gegeben hätten.</w:t>
      </w:r>
    </w:p>
    <w:p>
      <w:r>
        <w:rPr>
          <w:b/>
        </w:rPr>
        <w:t>E. 1.3</w:t>
      </w:r>
    </w:p>
    <w:p>
      <w:r>
        <w:t>Die Staatsanwaltschaft kann unter den in Art. 269 Abs. 1 lit. a-c StPO genannten Voraussetzungen zur Verfolgung der in BGE 141 IV 423 S. 429 Art. 269 Abs. 2 StPO genannten Straftaten den Post- und den Fernmeldeverkehr überwachen lassen. Die Überwachung bedarf der Genehmigung durch das Zwangsmassnahmengericht ( Art. 272 Abs. 1 StPO ). Einer Genehmigung bedarf gemäss Art. 273 Abs. 2 StPO auch die von der Staatsanwaltschaft anbegehrte Auskunft über Verkehrs- und Rechnungsdaten sowie Teilnehmeridentifikation im Sinne von Art. 273 Abs. 1 StPO . Art. 269 ff. StPO regeln "geheime" Überwachungsmassnahmen (siehe die Überschrift des 8. Kapitels). Die Massnahmen greifen in das Post- und das Fernmeldegeheimnis ein. Die Informationen sind lediglich während des Transports, d.h. in der Übermittlungsphase, nicht aber ausserhalb des Transportweges durch Art. 269 ff. StPO geschützt (MARC JEAN-RICHARD-DIT-BRESSEL, in: Basler Kommentar, Schweizerische Strafprozessordnung, 2. Aufl. 2014, N. 22 zu Art. 269 StPO ). Mitteilungen wie Telefongespräche auf Ton- und Datenträgern (etwa auf Mobiltelefonen gespeicherte Informationen), die sich schon beim Empfänger oder Dritten befinden, sind dort nicht nach Art. 269 ff. StPO geschützt. Sie können in Anwendung von Art. 246 ff. StPO im Rahmen von Durchsuchungen von Aufzeichnungen ermittelt werden (NIKLAUS SCHMID, Handbuch des schweizerischen Strafprozessrechts, 2. Aufl. 2013, N. 1139). "PUK" bedeutet Personal Unblocking Key. Mit diesem elektronischen Schlüssel kann der programmierte PIN-Code einer SIM-Karte übersteuert werden, womit das Auslesen der Daten von dieser Karte ermöglicht wird. Der PUK gehört nicht zu den Verkehrsdaten, die den Fernmeldeverkehr betreffen und dem Fernmeldegeheimnis unterliegen, sondern zu den Bestandesdaten, die unabhängig von einem bestimmten Fernmeldeverkehr vorhanden sind. Die staatsanwaltliche Aufforderung zur Herausgabe des PUK-Codes bedarf nicht der Genehmigung durch das Zwangsmassnahmengericht (THOMAS HANSJAKOB, in: Kommentar zur Schweizerischen Strafprozessordnung, 2. Aufl. 2014, N. 4 zu Art. 272 StPO ; NIKLAUS OBERHOLZER, Grundzüge des Strafprozessrechts, 3. Aufl. 2012, N. 1197; anderer Auffassung : Entscheid des Präsidenten der Beschwerdekammer des Bundesstrafgerichts vom 7. April 2006, TPF 2006 254; JEAN-RICHARD-DIT-BRESSEL, a.a.O., N. 27 zu Art. 269 StPO ; SCHMID, a.a.O., N. 1144 Fn. 489, welche die Erhebung von PUK-Codes zu SIM-Karten als genehmigungspflichtige Überwachungsmassnahme qualifizieren). BGE 141 IV 423 S. 430 Die aus dem Mobiltelefon des Beschwerdeführers gewonnenen Erkenntnisse sind somit verwertbar. Die Beschwerde ist in diesem Punkt abzuweisen. (...)</w:t>
      </w:r>
    </w:p>
    <w:p>
      <w:r>
        <w:rPr>
          <w:b/>
        </w:rPr>
        <w:t>E. 3.1</w:t>
      </w:r>
    </w:p>
    <w:p>
      <w:r>
        <w:t>Der Beschwerdeführer macht wie vorfrageweise im kantonalen Berufungsverfahren geltend, die diversen Gutachten des Instituts für Rechtsmedizin der Universität L. seien nicht als Beweismittel verwertbar, da die Experten nicht über ihre Rechte und Pflichten als Sachverständige belehrt und die Gutachtensaufträge nicht schriftlich erteilt worden seien.</w:t>
      </w:r>
    </w:p>
    <w:p>
      <w:r>
        <w:rPr>
          <w:b/>
        </w:rPr>
        <w:t>E. 3.2</w:t>
      </w:r>
    </w:p>
    <w:p>
      <w:r>
        <w:t>Der Gutachtensauftrag ist schriftlich zu erteilen ( Art. 184 Abs. 2 StPO ). Dies ist indessen nicht eine Gültigkeits-, sondern lediglich eine Ordnungsvorschrift (Botschaft vom 21. Dezember 2005 zur Vereinheitlichung des Strafprozessrechts, BBl 2006 1085 ff., 1212 zu Art. 181).</w:t>
      </w:r>
    </w:p>
    <w:p>
      <w:r>
        <w:rPr>
          <w:b/>
        </w:rPr>
        <w:t>E. 3.3</w:t>
      </w:r>
    </w:p>
    <w:p>
      <w:r>
        <w:t>Der Gutachtensauftrag der Verfahrensleitung enthält unter anderem den Hinweis auf die Straffolgen eines falschen Gutachtens nach Artikel 307 StGB ( Art. 184 Abs. 2 lit. f StPO ). Das Gesetz regelt nicht, welche Folgen das Unterbleiben dieser Belehrung hat. Nach der überwiegenden Lehre ist die Belehrung Gültigkeitsvorschrift; unterbleibt sie, ist das Gutachten ungültig und nicht als Beweismittel verwertbar. (MARIANNE HEER, in: Basler Kommentar, Schweizerische Strafprozessordnung, 2. Aufl. 2014, N. 19 zu Art. 184 StPO ; ANDREAS DONATSCH, in: Kommentar zur Schweizerischen Strafprozessordnung, 2. Aufl. 2014, N. 34 zu Art. 184 StPO ; HAUSER/SCHWERI/HARTMANN Schweizerisches Strafprozessrecht, 6. Aufl. 2005, § 64 N. 8; SCHMID, a.a.O., N. 940 Fn. 382; anderer Auffassung OBERHOLZER, a.a.O., N. 813). Als Sachverständige können natürliche Personen ernannt werden, die auf dem betreffenden Fachgebiet die erforderlichen besonderen Kenntnisse und Fähigkeiten besitzen ( Art. 183 Abs. 1 StPO ). Bund und Kantone können für bestimmte Gebiete dauernd bestellte oder amtliche Sachverständige vorsehen ( Art. 183 Abs. 2 StPO ). Dazu zählen beispielsweise die Rechtsmedizinischen Institute von Universitäten (IRM) beziehungsweise ihre Mitarbeiter. Die Strafprozessordnung sieht nicht vor, dass für die dauernd bestellten oder amtlichen Sachverständigen im Sinne von Art. 183 Abs. 2 StPO etwa in Bezug auf die Belehrung gemäss Art. 184 Abs. 2 lit. f StPO über die BGE 141 IV 423 S. 431 Straffolgen eines falschen Gutachtens andere Regeln gelten als für die übrigen Sachverständigen. In der Lehre wird überwiegend die Auffassung vertreten, dass auch ständig bestellte Sachverständige wie beispielsweise solche von Rechtsmedizinischen Instituten auf die Straffolgen eines falschen Gutachtens hinzuweisen seien und das Gutachten bei Unterbleiben dieses Hinweises unverwertbar sei (SCHMID, a.a.O., N. 940 Fn. 382; DONATSCH, a.a.O., N. 32 zu Art. 184 StPO ; HEER, a.a.O., N. 19 zu Art. 184 StPO ). In der Praxis wird oft auf die Belehrung von solchen Sachverständigen verzichtet, da ihnen die Straffolgen eines falschen Gutachtens nach Art. 307 StPO offensichtlich bekannt sind. Für eine solche Praxis bietet aber die Strafprozessordnung keine gesetzliche Grundlage. Auch dauernd bestellte oder amtliche Sachverständige im Sinne von Art. 183 Abs. 2 StPO sind gemäss Art. 184 Abs. 2 lit. f StPO auf die Straffolgen eines falschen Gutachtens nach Artikel 307 StGB hinzuweisen. Art. 184 Abs. 2 lit. f StPO stellt indessen jedenfalls insoweit, als er dauernd bestellte oder amtliche Sachverständige betrifft, nicht eine Gültigkeits-, sondern lediglich eine Ordnungsvorschrift dar. Die Gutachten etwa von IRM sind auch bei Fehlen eines Hinweises auf die Straffolgen eines falschen Gutachtens gültig und verwertbar. Die Bestimmungen betreffend die Sachverständigen ( Art. 182 ff. StPO ) enthalten keine Art. 177 Abs. 1 Satz 2 StPO betreffend die Zeugenbelehrung entsprechende Vorschrift, wonach die Einvernahme ungültig ist, wenn die Belehrung unterbleibt. Die Beschwerde ist auch in diesem Punkt abzuweisen.</w:t>
      </w:r>
    </w:p>
    <w:p>
      <w:r>
        <w:rPr>
          <w:b/>
        </w:rPr>
        <w:t>E. 4.1</w:t>
      </w:r>
    </w:p>
    <w:p>
      <w:r>
        <w:t>Die erste Instanz ordnete an, dass der Beschwerdeführer im Anschluss an den Vollzug der Freiheitsstrafe (von 4½ Jahren) gemäss Art. 64 Abs. 1 bis und Abs. 2 StGB lebenslänglich verwahrt wird. Die Vorinstanz bestätigte das erstinstanzliche Urteil auch in diesem Punkt. Der Beschwerdeführer macht wie im kantonalen Berufungsverfahren geltend, die Voraussetzungen der lebenslänglichen Verwahrung gemäss Art. 64 Abs. 1 bis StGB seien in seinem Fall nicht erfüllt.</w:t>
      </w:r>
    </w:p>
    <w:p>
      <w:r>
        <w:rPr>
          <w:b/>
        </w:rPr>
        <w:t>E. 4.2</w:t>
      </w:r>
    </w:p>
    <w:p>
      <w:r>
        <w:t>Das Gericht ordnet gemäss Art. 64 Abs. 1 bis StGB die lebenslängliche Verwahrung an, wenn der Täter einen Mord, eine vorsätzliche Tötung, eine schwere Körperverletzung, einen Raub, eine Vergewaltigung, eine sexuelle Nötigung, eine Freiheitsberaubung oder Entführung, eine Geiselnahme, Menschenhandel, Völkermord, ein Verbrechen gegen die Menschlichkeit oder ein Kriegsverbrechen BGE 141 IV 423 S. 432 (Zwölfter Titel ter ) begangen hat und wenn die folgenden Voraussetzungen erfüllt sind: a. Der Täter hat mit dem Verbrechen die physische, psychische oder sexuelle Integrität einer anderen Person besonders schwer beeinträchtigt oder beinträchtigen wollen. b. Beim Täter besteht eine sehr hohe Wahrscheinlichkeit, dass er erneut eines dieser Verbrechen begeht. c. Der Täter wird als dauerhaft nicht therapierbar eingestuft, weil die Behandlung langfristig keinen Erfolg verspricht. Der Beschwerdeführer hat die Straftat der sexuellen Nötigung im Sinne von Art. 189 Abs. 1 StGB begangen. Dieses Delikt ist eine Katalogtat gemäss Art. 64 Abs. 1 bis StGB und kann daher Anlass für eine lebenslängliche Verwahrung sein. Erforderlich ist aber zudem, dass darüber hinaus die in Art. 64 Abs. 1 bis lit. a-c StGB genannten Voraussetzungen kumulativ erfüllt sind.</w:t>
      </w:r>
    </w:p>
    <w:p>
      <w:r>
        <w:rPr>
          <w:b/>
        </w:rPr>
        <w:t>E. 4.3</w:t>
      </w:r>
    </w:p>
    <w:p>
      <w:r>
        <w:t>Erforderlich ist, dass der Beschwerdeführer im Sinne von Art. 64 Abs. 1 bis lit. a StGB mit dem Verbrechen der sexuellen Nötigung ( Art. 189 Abs. 1 StGB ) die physische, psychische oder sexuelle Integrität einer anderen Person besonders schwer beeinträchtigte oder beeinträchtigen wollte.</w:t>
      </w:r>
    </w:p>
    <w:p>
      <w:r>
        <w:rPr>
          <w:b/>
        </w:rPr>
        <w:t>E. 4.3.1</w:t>
      </w:r>
    </w:p>
    <w:p>
      <w:r>
        <w:t>Die erste Instanz erwog, dieses Erfordernis bedeute, dass nur schwere Formen der aufgezählten Verbrechen als Anlasstaten für die lebenslängliche Verwahrung dienen können. Bei einem Teil der Katalogtaten sei die besonders schwere Schädigung per se anzunehmen, bei anderen sei das Erfordernis gesondert zu prüfen. Vorliegend sei die Voraussetzung der besonders schweren Beeinträchtigung bereits durch die Anlasstat als solche erfüllt. Eine sexuelle Nötigung greife in den intimsten Bereich der Opfer ein und sei deshalb schon aus diesem Grunde als besonders schwere Beeinträchtigung der sexuellen Integrität anzusehen. Hinzu komme, dass die beiden Opfer durch die perfide Art der Tatausführung dem Beschwerdeführer völlig ausgeliefert gewesen seien - nicht nur zum Zeitpunkt der Taten, sondern auch noch heute. Die Opfer wüssten weder, was mit ihnen geschehen sei, noch könnten sie die Situation für sich abschliessen. Die seelische Belastung sei somit massiv. Das Erfordernis der besonders schweren Beeinträchtigung durch die Anlasstat sei demnach erfüllt. Die Vorinstanz folgt dieser Einschätzung der ersten Instanz. Der Beschwerdeführer habe die beiden Opfer durch das heimliche BGE 141 IV 423 S. 433 Verabreichen eines starken Schlafmittels widerstandsunfähig gemacht und an ihnen sexuelle Handlungen vollzogen. Dabei habe er die Opfer nackt ausgezogen und sie im Intimbereich berührt respektive manuell penetriert. Zudem sei erwiesen, dass bei den durchgeführten Handlungen auch Sperma des Beschwerdeführers in den Genitalbereich der Opfer gelangt sei, was die Gefahr von sexuell übertragbaren Krankheiten und/oder Schwangerschaft in sich geschlossen habe. Beide Opfer seien während längerer Zeit nicht bei Bewusstsein gewesen. Das eine Opfer sei gar während Stunden nicht bei Bewusstsein gewesen, was ebenfalls eine erhebliche Beeinträchtigung der körperlichen und seelischen Integrität bedeute. Erschwerend komme hinzu, dass die Opfer aufgrund der Betäubung nie erführen, was genau geschehen sei. Dies erschwere die Verarbeitung der Ereignisse für sie zusätzlich und stelle ein weiteres schweres Trauma dar. Die erste Instanz habe denn auch zu Recht darauf hingewiesen, dass die emotionale Betroffenheit der Geschädigten A. anlässlich der Hauptverhandlung immer noch deutlich zu spüren gewesen sei, obwohl der Vorfall damals knapp zwei Jahre zurückgelegen habe und die Geschädigte in psychologischer Behandlung gewesen sei. Sie sei auch zweitinstanzlich ausserstande gewesen, sich mit dem Beschwerdeführer zu konfrontieren. Auch die Geschädigte B. habe an der erstinstanzlichen Verhandlung glaubwürdig geschildert, wie sehr sie nach wie vor unter dem Übergriff leide. Daher sei zweifellos eine besonders schwere Beeinträchtigung der beiden Opfer gegeben. Unter diesen Umständen sei es ohne Belang, ob die erstinstanzliche Erkenntnis zutreffe, dass sexuelle Nötigung per se eine besonders schwere Beeinträchtigung der Opfer im Sinne von Artikel 64 Abs. 1 bis lit. a StGB darstelle.</w:t>
      </w:r>
    </w:p>
    <w:p>
      <w:r>
        <w:rPr>
          <w:b/>
        </w:rPr>
        <w:t>E. 4.3.2</w:t>
      </w:r>
    </w:p>
    <w:p>
      <w:r>
        <w:t>Der Beschwerdeführer wendet ein, die sexuelle Nötigung im Sinne des Grundtatbestands gemäss Art. 189 Abs. 1 StGB stelle nicht per se eine besonders schwere Beeinträchtigung der physischen, psychischen oder sexuellen Integrität des Opfers im Sinne von Art. 64 Abs. 1 bis lit. a StGB dar. Eine solche besonders schwere Beeinträchtigung werde allenfalls durch eine - vorliegend unstreitig nicht gegebene - qualifizierte sexuelle Nötigung im Sinne von Art. 189 Abs. 3 StGB bewirkt, wonach der Täter mit Freiheitsstrafe nicht unter drei Jahren bestraft wird, wenn er grausam handelt, namentlich eine gefährliche Waffe oder einen anderen gefährlichen Gegenstand verwendet. Das Erfordernis der besonders schweren Beeinträchtigung setze zudem einen diesbezüglichen Vorsatz des BGE 141 IV 423 S. 434 Täters voraus. Der Täter müsse den Vorsatz gehabt haben, jemanden in der physischen, psychischen oder sexuellen Integrität besonders schwer zu beeinträchtigen. Es sei nicht ersichtlich, wie ihm ein solcher Vorsatz nachgewiesen werden könnte. Auch seien die von der Vorinstanz genannten Auswirkungen der Taten auf die beiden Opfer nicht bewiesen und gingen diese Auswirkungen im Übrigen nicht über das hinaus, was normalerweise Folge solcher Handlungen sei.</w:t>
      </w:r>
    </w:p>
    <w:p>
      <w:r>
        <w:rPr>
          <w:b/>
        </w:rPr>
        <w:t>E. 4.3.3</w:t>
      </w:r>
    </w:p>
    <w:p>
      <w:r>
        <w:t>An die Anordnung einer lebenslänglichen Verwahrung sind in Anbetracht der ausserordentlichen Eingriffsintensität dieser Massnahme sehr hohe Anforderungen zu stellen (siehe BGE 140 IV 1 E. 3.2.4). Dies gilt nicht nur für das Erfordernis der dauerhaften Nichttherapierbarkeit gemäss Art. 64 Abs. 1 bis lit. c StGB , sondern auch hinsichtlich der übrigen Anordnungsvoraussetzungen. Erforderlich ist daher nach dem Gesetzeswortlaut, dass eine "sehr hohe Wahrscheinlichkeit" weiterer Katalogtaten besteht ( Art. 64 Abs. 1 bis lit. b StGB ) und dass der Täter mit dem Verbrechen die physische, psychische oder sexuelle Integrität einer andern Person "besonders schwer" beeinträchtigte oder beeinträchtigen wollte ( Art. 64 Abs. 1 bis lit. a StGB ). Das Erfordernis der besonders schweren Beeinträchtigung der physischen, psychischen oder sexuellen Integrität macht deutlich, dass nur schwere Formen der aufgezählten Katalogtaten als Anlasstaten für die lebenslängliche Verwahrung genügen (Botschaft vom 23. November 2005 zur Änderung des Schweizerischen Strafgesetzbuches in der Fassung vom 13. Dezember 2002 [Umsetzung von Artikel 123a der Bundesverfassung über die lebenslängliche Verwahrung extrem gefährlicher Straftäter], BBl 2006 889 ff., 902 Ziff. 2.2.2). Im Abstimmungskampf zu Art. 123a BV betreffend extrem gefährliche, nicht therapierbare Sexual- und Gewaltstraftäter und im nachfolgenden Gesetzgebungsverfahren war von allerschwersten Tötungsdelikten mit sexueller Gewalt die Rede. Dies ist bei der Auslegung von Art. 64 Abs. 1 bis StGB zu berücksichtigen (HEER, a.a.O., N. 117 zu Art. 64 StGB ; HANS VEST, in: Die Schweizerische Bundesverfassung, St. Galler Kommentar, 3. Aufl. 2014, N. 16 zu Art. 123a BV ).</w:t>
      </w:r>
    </w:p>
    <w:p>
      <w:r>
        <w:rPr>
          <w:b/>
        </w:rPr>
        <w:t>E. 4.3.4</w:t>
      </w:r>
    </w:p>
    <w:p>
      <w:r>
        <w:t>Art. 64 Abs. 1 bis lit. a StGB setzt voraus, dass der Täter die physische, psychische oder sexuelle Integrität einer anderen Person "besonders schwer" ("particulièrement grave"; "particolarmente grave") beeinträchtigte oder beeinträchtigen wollte. Ob einzelne Katalogtaten diese Voraussetzung in jedem Falle eo ipso erfüllen, kann hier dahingestellt bleiben. Die Katalogtat der sexuellen BGE 141 IV 423 S. 435 Nötigung im Sinne von Art. 189 Abs. 1 StGB jedenfalls führt nicht eo ipso zu einer besonders schweren Beeinträchtigung der physischen, psychischen oder sexuellen Integrität. Unter den Tatbestand von Art. 189 Abs. 1 StGB können ganz unterschiedliche, mehr oder weniger schwerwiegende Verhaltensweisen fallen. Art. 189 Abs. 1 StGB droht denn auch alternativ zu Freiheitsstrafe bis zu zehn Jahren Geldstrafe an. Das Opfer B. war zufolge der Verwendung des Schlafmittels Dormicum durch den Beschwerdeführer während mehreren Stunden betäubt. Darin liegt keine besonders schwere Beeinträchtigung der physischen Integrität. Die erste Instanz hat die Betäubung für mehrere Stunden zu Recht als einfache Körperverletzung im Sinne von Art. 123 Ziff. 1 Abs. 1 StGB qualifiziert und den Beschwerdeführer vom Anklagevorwurf der versuchten schweren Körperverletzung freigesprochen, was unangefochten blieb. Da die beiden Opfer zufolge der Wirkung des ihnen vom Beschwerdeführer heimlich verabreichten Schlafmittels betäubt waren, erlebten sie nicht bewusst mit, was der Beschwerdeführer ihnen im Einzelnen antat, und wissen sie dies auch heute noch nicht. Die Vorinstanz sieht darin mit der ersten Instanz einen Umstand, welcher die Verarbeitung der Ereignisse erschwere und ein zusätzliches Trauma darstelle. Ob aus der Sicht des Opfers ein Sexualdelikt, das es zufolge Betäubung nicht bewusst miterlebt, im Ergebnis prinzipiell schwerer wiegt als ein Sexualdelikt, welches es in vollem Bewusstsein erdulden muss, ist zweifelhaft, kann aber dahingestellt bleiben. Auch bei einer Schändung ( Art. 191 StGB ), welche der Täter dadurch begeht, dass er eine zum Widerstand unfähige Person in Kenntnis ihres Zustandes zum Beischlaf, zu einer beischlafsähnlichen oder einer anderen sexuellen Handlung missbraucht, weiss das zufolge Betäubung widerstandsunfähige Opfer nicht, was ihm geschehen ist. Die Schändung ist indessen keine Katalogtat im Sinne von Art. 64 Abs. 1 bis StGB und kann daher nicht Anlass für eine lebenslängliche Verwahrung bilden. Angesichts dessen kann es nicht in Betracht kommen, die besondere Schwere der Beeinträchtigung der physischen, psychischen oder sexuellen Integrität im Sinne von Art. 64 Abs. 1 bis lit. a StGB gerade damit zu begründen, dass das Opfer die an ihm verübte Tat nicht bewusst miterlebt habe und daher sein Leben lang nicht verarbeiten könne. In Bezug auf die sexuelle Nötigung zum Nachteil von A. sind hinsichtlich der vorgenommenen sexuellen Handlungen keine BGE 141 IV 423 S. 436 Einzelheiten bekannt. Betreffend die sexuelle Nötigung zum Nachteil von B. ist aufgrund der Ergebnisse der Analysen der gesicherten Spuren davon auszugehen, dass der Beschwerdeführer die Geschädigte unter Verwendung des Schlafmittels Dormicum betäubte, dass die Geschädigte während einigen Stunden betäubt war, dass der Beschwerdeführer seine Finger, die mit seinem Sperma behaftet waren, in die Vagina der Geschädigten einführte und dass die Geschädigte keine äusseren Verletzungen aufwies. Darin liegt keine "besonders schwere" Beeinträchtigung der physischen, psychischen oder sexuellen Integrität im Sinne von Art. 64 Abs. 1 bis lit. a StGB . In diesem Zusammenhang ist auch darauf hinzuweisen, dass die Vorinstanz den uneingeschränkt schuldfähigen, mehrfach einschlägig vorbestraften Beschwerdeführer für die beiden sexuellen Nötigungen zum Nachteil von A. und B. sowie für die durch die mehrstündige Betäubung begangene einfache Körperverletzung zum Nachteil von B. bei einem Strafmaximum von 15 Jahren mit einer Freiheitsstrafe von 4½ Jahren bestrafte.</w:t>
      </w:r>
    </w:p>
    <w:p>
      <w:r>
        <w:rPr>
          <w:b/>
        </w:rPr>
        <w:t>E. 4.3.5</w:t>
      </w:r>
    </w:p>
    <w:p>
      <w:r>
        <w:t>Der Beschwerdeführer hat somit durch die Straftaten der sexuellen Nötigung im Sinne von Art. 189 Abs. 1 StGB zum Nachteil der beiden Geschädigten nicht im Sinne von Art. 64 Abs. 1 bis lit. a StGB die physische, psychische oder sexuelle Integrität einer anderen Person besonders schwer beeinträchtigt oder beeinträchtigen wollen. Die Anordnung der lebenslänglichen Verwahrung verstösst gegen Bundesrecht, weil jedenfalls das Erfordernis im Sinne von Art. 64 Abs. 1 bis lit. a StGB nicht erfüllt ist. Die Beschwerde ist in diesem Punkt gutzuheissen.</w:t>
      </w:r>
    </w:p>
    <w:p>
      <w:r>
        <w:rPr>
          <w:b/>
        </w:rPr>
        <w:t>E. 4.3.6</w:t>
      </w:r>
    </w:p>
    <w:p>
      <w:r>
        <w:t>Bei diesem Ergebnis kann offenbleiben, ob die lebenslängliche Verwahrung gegen das Verbot der Folter ( Art. 3 EMRK ) verstösst, wie der Beschwerdeführer geltend macht. Offenbleiben kann daher auch, ob die Frage der Vereinbarkeit der lebenslänglichen Verwahrung mit Art. 3 und/oder Art. 5 Ziff. 4 EMRK bereits mit Beschwerde gegen die Anordnung der lebenslänglichen Verwahrung aufgeworfen werden kann (in diesem Sinne Entscheid Nr. 66069/09 des EGMR Vinter und andere gegen Grossbritannien vom 9. Juli 2013, § 122) oder erst dann, wenn der Verurteilte die Strafe verbüsst hat, sich im Vollzug der lebenslänglichen Verwahrung befindet und um Entlassung ersucht (in diesem Sinne STEFAN TRECHSEL mit Hinweis auf ein Urteil des Bezirksgerichts Weinfelden, forumpoenale 2012 S. 138 ff., 143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