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190</w:t>
      </w:r>
    </w:p>
    <w:p>
      <w:r>
        <w:t>Bundesgericht (BGE), 2015-02-16, FR</w:t>
      </w:r>
    </w:p>
    <w:p>
      <w:r>
        <w:rPr>
          <w:b/>
        </w:rPr>
        <w:t xml:space="preserve">Quelle: </w:t>
      </w:r>
      <w:r>
        <w:t>https://mcp.opencaselaw.ch/entscheid/bge_BGE_141_IV_190</w:t>
      </w:r>
    </w:p>
    <w:p>
      <w:r>
        <w:t>FR: ATF 141 IV 190</w:t>
      </w:r>
    </w:p>
    <w:p>
      <w:r>
        <w:t>IT: DTF 141 IV 190</w:t>
      </w:r>
    </w:p>
    <w:p>
      <w:pPr>
        <w:pStyle w:val="Heading2"/>
      </w:pPr>
      <w:r>
        <w:t>Regeste</w:t>
      </w:r>
    </w:p>
    <w:p>
      <w:r>
        <w:t>Regeste Art. 227 Abs. 7 und Art. 237 Abs. 4 StPO; periodische Überprüfung von Ersatzmassnahmen für Untersuchungshaft. Wie bei der Untersuchungshaft sind die einschneidendsten Ersatzmassnahmen für strafprozessuale Haft (Art. 237 Abs. 2 lit. c-g StPO) zu befristen; sie können auch verlängert werden (E. 3).</w:t>
      </w:r>
    </w:p>
    <w:p>
      <w:r>
        <w:t>Regeste Art. 227 al. 7 et art. 237 al. 4 CPP; contrôle périodique des mesures de substitution. A l'instar de la détention provisoire, les mesures de substitution les plus sévères (art. 237 al. 2 let. c-g CPP) doivent être prononcées pour une durée déterminée, renouvelable (consid. 3).</w:t>
      </w:r>
    </w:p>
    <w:p>
      <w:r>
        <w:t>Regesto Art. 227 cpv. 7 e art. 237 cpv. 4 CPP; controllo periodico delle misure sostitutive. Come la carcerazione preventiva, le misure sostitutive le più severe (art. 237 cpv. 2 lett. c-g CPP) devono essere adottate per una durata determinata, rinnovabile (consid. 3).</w:t>
      </w:r>
    </w:p>
    <w:p>
      <w:pPr>
        <w:pStyle w:val="Heading2"/>
      </w:pPr>
      <w:r>
        <w:t>Erwägungen</w:t>
      </w:r>
    </w:p>
    <w:p>
      <w:r>
        <w:rPr>
          <w:b/>
        </w:rPr>
        <w:t>E. 3</w:t>
      </w:r>
    </w:p>
    <w:p>
      <w:r>
        <w:t>Sur le fond, le recourant persiste à considérer que les art. 237 al. 4 et 227 al. 7 CPP imposeraient, comme pour la détention provisoire, un contrôle périodique des mesures de substitution. On ne pourrait dès lors les ordonner pour une période indéterminée et les maintenir, comme l'a fait le Tmc, "jusqu'à droit jugé", même si le prévenu BGE 141 IV 190 S. 192 peut en tout temps contester les mesures de substitution. Le recourant relève que ces mesures (obligation de domicile, de travail et de production d'attestations, interdiction de relations avec certaines personnes), constituent une atteinte à la liberté de mouvement et à sa sphère privée.</w:t>
      </w:r>
    </w:p>
    <w:p>
      <w:r>
        <w:rPr>
          <w:b/>
        </w:rPr>
        <w:t>E. 3.1</w:t>
      </w:r>
    </w:p>
    <w:p>
      <w:r>
        <w:t>Concrétisant le principe de la proportionnalité, l' 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Pour surveiller l'exécution de ces mesures, le tribunal peut ordonner l'utilisation d'appareils techniques qui peuvent être fixés à la personne sous surveillance (al. 3).</w:t>
      </w:r>
    </w:p>
    <w:p>
      <w:r>
        <w:rPr>
          <w:b/>
        </w:rPr>
        <w:t>E. 3.2</w:t>
      </w:r>
    </w:p>
    <w:p>
      <w:r>
        <w:t>Selon l' art. 237 al. 4 CPP , les dispositions sur la détention provisoire et la détention pour des motifs de sûreté s'appliquent par analogie au prononcé des mesures de substitution ainsi qu'au recours contre elles. Selon l' art. 227 al. 7 CPP ,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 ATF 137 IV 180 consid. 3.5 p. 186). Ce contrôle périodique s'impose durant l'instruction et la procédure de première instance, et jusqu'à la saisine de la juridiction d'appel ( ATF 139 IV 186 ).</w:t>
      </w:r>
    </w:p>
    <w:p>
      <w:r>
        <w:rPr>
          <w:b/>
        </w:rPr>
        <w:t>E. 3.3</w:t>
      </w:r>
    </w:p>
    <w:p>
      <w:r>
        <w:t>Le renvoi général de l' art. 237 al. 4 CPP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 art. 221 CPP ), conditions qui doivent en elles-mêmes faire l'objet d'une réévaluation périodique. En outre, contrairement à ce que soutient la cour BGE 141 IV 190 S. 193 cantonale, les mesures de substitution ne sauraient sans autre être considérées comme des atteintes bénignes aux droits fondamentaux du prévenu: l'assignation à résidence constitue une certaine forme de détention, et l'obligation de travailler, de se soumettre à un traitement médical, voire un placement en institution (arrêt 1B_654/2011 du 7 décembre 2011) représentent des atteintes considérables à la liberté personnelle. A l'instar de la détention provisoire ou pour des motifs de sûreté, les mesures de substitution doivent en tout temps demeurer proportionnées au but poursuivi, tant par leur nature que par leur durée ( ATF 140 IV 74 consid. 2.2 p. 78). L'ensemble des raisons qui ont conduit à l'instauration d'un contrôle périodique de la détention provisoire doit dès lors aussi s'appliquer, en principe, à l'égard des mesures de substitution, y compris celles qui ne sont pas expressément mentionnées à l' art. 237 al. 2 CPP . Il peut être fait exception pour les mesures les plus légères qui consistent dans l'accomplissement d'un acte ponctuel. Ainsi, le versement de sûretés fait l'objet de dispositions spécifiques: l' art. 239 CPP précise les circonstances, les conditions et les modalités de la libération des sûretés, le législateur étant parti du principe que celles-ci doivent être maintenues jusqu'à l'issue de la procédure (cf. art. 239 al. 3 CPP ). Un engagement solennel de se présenter aux actes de procédure n'a pas non plus à être confirmé ou renouvelé périodiquement. Il en va de même du dépôt des papiers d'identité, qui permet au prévenu de conserver l'essentiel de sa liberté de mouvement. Pour ce type de mesures de substitution, la possibilité de demander en tout temps une levée constitue une garantie de procédure suffisante. En revanche, les autres mesures prévues à l' art. 237 al. 2 let . c-g CPP doivent être prononcées pour une durée déterminée. L'ordonnance du Tmc doit dès lors être réformée dans ce sens. Selon l' art. 227 al. 7 CPP , la prolongation peut être de trois mois au plus, et de six mois dans des cas exceptionnels. En l'occurrence, le recourant se voit imposer des mesures manifestement moins lourdes qu'une détention provisoire, et dont il ne conteste d'ailleurs pas le bien-fondé. Compte tenu de ces circonstances particulières, il se justifie de réformer l'ordonnance du Tmc et de fixer la durée des mesures de substitution à six mois, ce qui correspond au maximum prévu par la loi, étant précisé que le recourant pourra en tout temps saisir l'autorité d'une demande de révocation ou de modification des mesures de substitution ( art. 237 al. 5 et art. 228 CPP , par renvoi de l' art. 237 al. 4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