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II 50</w:t>
      </w:r>
    </w:p>
    <w:p>
      <w:r>
        <w:t>Bundesgericht (BGE), 2014-12-04, DE</w:t>
      </w:r>
    </w:p>
    <w:p>
      <w:r>
        <w:rPr>
          <w:b/>
        </w:rPr>
        <w:t xml:space="preserve">Quelle: </w:t>
      </w:r>
      <w:r>
        <w:t>https://mcp.opencaselaw.ch/entscheid/bge_BGE_141_II_50</w:t>
      </w:r>
    </w:p>
    <w:p>
      <w:r>
        <w:t>FR: ATF 141 II 50</w:t>
      </w:r>
    </w:p>
    <w:p>
      <w:r>
        <w:t>IT: DTF 141 II 50</w:t>
      </w:r>
    </w:p>
    <w:p>
      <w:pPr>
        <w:pStyle w:val="Heading2"/>
      </w:pPr>
      <w:r>
        <w:t>Regeste</w:t>
      </w:r>
    </w:p>
    <w:p>
      <w:r>
        <w:t>Regeste Zonenplanrevision; Zuweisung eines Gebiets in die Intensivlandwirtschaftszone; Anwendbarkeit des Konzentrationsprinzips; Legitimation zur Rüge der Verletzung dieses Prinzips (Art. 16a Abs. 3 RPG; Art. 111 und 89 Abs. 1 BGG). Allgemeine Grundsätze betreffend die Legitimation zur Anfechtung von Bau- und Planungsentscheiden (E. 2.1 und 2.2). Auf Intensivlandwirtschaftszonen ist das für Bauzonen geltende Konzentrationsprinzip analog anzuwenden (E. 2.5). Wird ein Grundeigentümer durch die Zuweisung eines Gebiets in die Intensivlandwirtschaftszone belastet, ist er berechtigt zu rügen, diese Zuweisung verletze das Konzentrationsprinzip. Die Prüfung dieser Rüge erfordert eine Gesamtbeurteilung der kommunalen Nutzungsplanung (E. 2.6).</w:t>
      </w:r>
    </w:p>
    <w:p>
      <w:r>
        <w:t>Regeste Révision du plan de zones; affectation d'un périmètre à la zone agricole intensive; application du principe de concentration; qualité pour invoquer la violation de ce principe (art. 16a al. 3 LAT; art. 111 et 89 al. 1 LTF). Principes généraux concernant la qualité pour recourir contre les décisions rendues en matière de police des constructions et d'aménagement du territoire (consid. 2.1 et 2.2). Le principe de concentration valable pour les zones à bâtir s'applique par analogie aux zones agricoles intensives (consid. 2.5). Le propriétaire grevé par l'affectation d'un secteur à la zone agricole intensive peut faire valoir que cette mesure viole le principe de concentration. L'examen de ce grief requiert une appréciation globale de la planification communale (consid. 2.6).</w:t>
      </w:r>
    </w:p>
    <w:p>
      <w:r>
        <w:t>Regesto Revisione del piano delle zone; attribuzione di un'area alla zona agricola intensiva; applicazione del principio di concentrazione; legittimazione a sollevare la censura di violazione di questo principio (art. 16a cpv. 3 LPT; art. 111 e 89 cpv. 1 LTF). Principi generali concernenti la legittimazione a impugnare decisioni in materia edilizia e pianificatoria (consid. 2.1 e 2.2). Il principio di concentrazione valido per le zone edilizie si applica per analogia alle zone agricole intensive (consid. 2.5). Il proprietario fondiario interessato dall'attribuzione di un'area alla zona agricola intensiva è legittimato a censurare che questo inserimento violi il principio di concentrazione. L'esame di questa censura esige una valutazione globale della pianificazione comunale (consid. 2.6).</w:t>
      </w:r>
    </w:p>
    <w:p>
      <w:pPr>
        <w:pStyle w:val="Heading2"/>
      </w:pPr>
      <w:r>
        <w:t>Erwägungen</w:t>
      </w:r>
    </w:p>
    <w:p>
      <w:r>
        <w:rPr>
          <w:b/>
        </w:rPr>
        <w:t>E. 2.1</w:t>
      </w:r>
    </w:p>
    <w:p>
      <w:r>
        <w:t>Gemäss Art. 89 Abs. 1 BGG ist zur Beschwerde in öffentlich-rechtlichen Angelegenheiten berechtigt, wer vor der Vorinstanz am Verfahren teilgenommen oder keine Möglichkeit zur Teilnahme erhalten hat (lit. a), durch den angefochtenen Entscheid besonders berührt ist (lit. b) und ein schutzwürdiges Interesse an dessen Aufhebung oder Änderung besitzt (lit. c). Verlangt ist somit neben der formellen Beschwer, dass der Beschwerdeführer über eine spezifische Beziehungsnähe zur Streitsache verfügt und einen praktischen Nutzen aus der Aufhebung oder Änderung des angefochtenen Entscheids zieht. Die Nähe der Beziehung zum Streitgegenstand muss bei Bauprojekten insbesondere in räumlicher Hinsicht gegeben sein ( BGE 137 II 30 E. 2.2.2 S. 34). Liegt diese besondere Beziehungsnähe vor, braucht das Anfechtungsinteresse nicht mit dem Interesse übereinzustimmen, das durch die vom Beschwerdeführer als verletzt bezeichneten Normen geschützt wird (Urteil 1C_236/2010 vom 16. Juli 2010 E. 1.4 mit Hinweisen). Er kann daher die Überprüfung eines Bauvorhabens im Lichte all jener Rechtssätze verlangen, die sich rechtlich oder tatsächlich in dem Sinne auf seine Stellung auswirken, dass ihm im Falle des Obsiegens ein praktischer Nutzen entsteht. Nicht zulässig ist hingegen das Vorbringen von Beschwerdegründen, mit denen einzig ein allgemeines öffentliches Interesse an der richtigen Anwendung des Rechts verfolgt wird, ohne dass dem Beschwerdeführer im Falle des Obsiegens ein Vorteil entsteht ( BGE 137 II 30 E. 2.2.3 S. 34; BGE 139 II 499 E. 2.2 S. 504; je mit Hinweisen). Entsprechend diesen Grundsätzen können bei der Planung von Hochspannungsleitungen die in räumlicher Hinsicht betroffenen Personen nicht nur Mängel des Projekts in ihrer unmittelbaren Umgebung geltend machen, sondern innerhalb des Planungsperimeters die Notwendigkeit des Neubaus und die Linienführung in Frage stellen, soweit der gerügte Mangel zu einer Aufhebung oder Änderung der Linienführung im Nahbereich dieser Personen führen und ihnen damit einen konkreten Vorteil verschaffen könnte ( BGE 139 II 499 E. 2.3 S. 505 mit Hinweisen). BGE 141 II 50 S. 53</w:t>
      </w:r>
    </w:p>
    <w:p>
      <w:r>
        <w:rPr>
          <w:b/>
        </w:rPr>
        <w:t>E. 2.2</w:t>
      </w:r>
    </w:p>
    <w:p>
      <w:r>
        <w:t>Gemäss Art. 33 Abs. 3 lit. a RPG (SR 700) gewährleistet das kantonale Recht gegen Verfügungen betreffend die Raumplanung die Legitimation mindestens im gleichen Umfang wie für die Beschwerde in öffentlich-rechtlichen Angelegenheiten an das Bundesgericht. Zudem sieht Art. 111 Abs. 1 und 3 BGG die Einheit des Verfahrens vor. Aus diesen Bestimmungen ergibt sich, dass die kantonalen Behörden die Rechtsmittelbefugnis nicht enger fassen dürfen, als dies für die Beschwerde an das Bundesgericht vorgesehen ist (Urteil 1C_82/2007 vom 19. November 2007 E. 3.1).</w:t>
      </w:r>
    </w:p>
    <w:p>
      <w:r>
        <w:rPr>
          <w:b/>
        </w:rPr>
        <w:t>E. 2.3</w:t>
      </w:r>
    </w:p>
    <w:p>
      <w:r>
        <w:t>Die Vorinstanz führte bezüglich der Legitimation des Beschwerdeführers unter Berufung auf die bundesgerichtliche Rechtsprechung aus, ein Nachbar sei nur in dem Umfang zur Anfechtung von Planfestsetzungen legitimiert, als diese sich wegen der räumlichen Nähe auf seine Parzelle nachteilig auswirken könnten. Der Beschwerdeführer sei von der Zuordnung des südlich an seine Parzelle angrenzenden Gebiets zur Intensivlandwirtschaftszone beschwert und insoweit zur Beschwerde befugt. Seine Vorbringen zu den übrigen Intensivlandwirtschaftszonen hingegen würden allgemeine öffentliche Interessen betreffen. Diese Zonen würden das Grundstück des Beschwerdeführers angesichts des Abstands dazu nicht beeinträchtigen. Der Beschwerdeführer sei daher nur bezüglich der an seine Parzelle angrenzenden Intensivlandwirtschaftszone beschwerdebefugt. Soweit er die Festlegung der weiteren Intensivlandwirtschaftszonen auf dem Gemeindegebiet beanstande, sei auf die Beschwerde nicht einzutreten. Im Ergebnis zutreffend habe somit auch die JGK ihre Prüfung auf diese angrenzende Zone beschränkt.</w:t>
      </w:r>
    </w:p>
    <w:p>
      <w:r>
        <w:rPr>
          <w:b/>
        </w:rPr>
        <w:t>E. 2.4</w:t>
      </w:r>
    </w:p>
    <w:p>
      <w:r>
        <w:t>Der Beschwerdeführer rügt, diese Beschränkung seiner Legitimation widerspreche Art. 89 Abs. 1 BGG , weil sie die Überprüfung des raumplanerischen Konzepts sowie der raumplanerischen Interessenabwägung verunmögliche. Die Vorinstanz habe nicht beachtet, dass die Rüge der Missachtung des Konzentrationsprinzips eine Überprüfung der Anordnung und Dimensionierung aller Intensivlandwirtschaftszonen auf dem Gemeindegebiet erfordere, um die umfassende raumplanerische Interessenabwägung zu ermöglichen. Diese Überprüfung könne zu einer Redimensionierung der Intensivlandwirtschaftszone vor seiner Liegenschaft führen und verschaffe ihm damit einen praktischen Nutzen.</w:t>
      </w:r>
    </w:p>
    <w:p>
      <w:r>
        <w:rPr>
          <w:b/>
        </w:rPr>
        <w:t>E. 2.5</w:t>
      </w:r>
    </w:p>
    <w:p>
      <w:r>
        <w:t>Mit der Teilrevision des Raumplanungsgesetzes vom 20. März 1998 hat der Gesetzgeber in Art. 16a Abs. 3 RPG die Ausscheidung BGE 141 II 50 S. 54 von Intensivlandwirtschaftszonen erlaubt, in denen bodenunabhängige Bewirtschaftungsformen in der Landwirtschaftszone als zonenkonform gelten (Urteil 1C_561/2012 vom 4. Oktober 2013 E. 2.4.3 und 2.4.4). Intensivlandwirtschaftszonen zählen somit nach der bundesrechtlichen Systematik zu den Nichtbauzonen. Faktisch handelt es sich bei ihnen jedoch um "landwirtschaftliche Bauzonen", da sie im Ergebnis bauliche Tätigkeit relativ weitgehend zulassen (Urteil 1C_157/2009 vom 26. November 2009 E. 3.2.4 mit Hinweisen, in: ZBl 2011 S. 220). Dies rechtfertigt gemäss der zutreffenden Meinung der Vorinstanz, das bezüglich Bauzonen geltende Konzentrationsprinzip sinngemäss auch auf Intensivlandwirtschaftszonen anzuwenden. Entsprechend wird in den vom Bundesamt für Raumentwicklung (ARE) herausgegebenen Erläuterungen zum neuen Raumplanungsrecht ausgeführt, ein Wildwuchs einzelner Bauten und Anlagen für die bodenunabhängige Produktion in zufälliger Verteilung über den gesamten Landschaftsraum sei zu verhindern; anzustreben sei eine Zusammenfassung der Bedürfnisse an einem Standort pro Planungsgebiet (ARE, Ausscheidung von Zonen nach Artikel 16a Absatz 3 RPG in Verbindung mit Artikel 38 RPV, in: Neues Raumplanungsrecht, Teil II, 2000/2001, S. 3).</w:t>
      </w:r>
    </w:p>
    <w:p>
      <w:r>
        <w:rPr>
          <w:b/>
        </w:rPr>
        <w:t>E. 2.6</w:t>
      </w:r>
    </w:p>
    <w:p>
      <w:r>
        <w:t>Der Beschwerdeführer wird durch die Zuweisung des südlich an seine Liegenschaft angrenzenden Gebiets zur Intensivlandwirtschaftszone in räumlicher Hinsicht belastet. Er ist daher befugt, die Verletzung des Konzentrationsprinzips hinsichtlich der Anordnung der auf dem Gemeindegebiet vorgesehenen Intensivlandwirtschaftszonen zu rügen, weil eine Zusammenfassung dieser über weite Teile des Gebiets verstreuten Zonen an einem oder wenigen Standorten dazu führen könnte, dass auf die an seine Parzelle angrenzende Intensivlandwirtschaftszone verzichtet oder diese verkleinert wird. Bei der Anwendung des Konzentrationsprinzips sind übergeordnete raumplanerische Aspekte zu beachten und widerstreitende Interessen bezüglich der Standortauswahl in ihrer Gesamtheit gegeneinander abzuwägen (vgl. BGE 132 II 209 E. 2.2.3 S. 216; ARE, a.a.O., S. 6). Demnach ist insoweit eine Gesamtbeurteilung der kommunalen Nutzungsplanung erforderlich, bei der alle im Planungsgebiet festgesetzten Intensivlandwirtschaftszonen in die Betrachtung einzubeziehen sind. Der Beschwerdeführer ist daher legitimiert, bezüglich des als verletzt gerügten Konzentrationsprinzips eine Gesamtbeurteilung der Intensivlandwirtschaftszonen auf dem Gemeindegebiet zu verlangen. Dies hat die Vorinstanz nicht beachtet. Sie prüfte zwar, ob BGE 141 II 50 S. 55 die Intensivlandwirtschaftszone südlich des Dorfes mit dem Konzentrationsprinzip vereinbar ist, fokussierte sich dabei jedoch auf diese Zone und die westlich des Dorfes Golaten und beidseits des Weilers Lachen vorgesehenen Intensivlandwirtschaftszonen. Mit dieser eingeschränkten Prüfung beging die Vorinstanz eine formelle Rechtsverweigerung. Das angefochtene Urteil ist daher aufzuheben und die Sache ist an die Vorinstanz zurückzuweisen, damit diese umfassend prüft, ob die Beachtung des Konzentrationsprinzips bezüglich der Anordnung aller Intensivlandwirtschaftszonen in der Gemeinde einen Verzicht auf die südlich des Dorfes Golaten vorgesehene Intensivlandwirtschaftszone oder deren Verkleinerung erfordert. Sollte die Vorinstanz diese Frage beim neuen Entscheid bejahen, müsste die Gemeinde die Intensivlandwirtschaftszonen unter Berücksichtigung des Konzentrationsprinzips neu planen und auflegen.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