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256</w:t>
      </w:r>
    </w:p>
    <w:p>
      <w:r>
        <w:t>Bundesgericht (BGE), 2015-06-09, DE</w:t>
      </w:r>
    </w:p>
    <w:p>
      <w:r>
        <w:rPr>
          <w:b/>
        </w:rPr>
        <w:t xml:space="preserve">Quelle: </w:t>
      </w:r>
      <w:r>
        <w:t>https://mcp.opencaselaw.ch/entscheid/bge_BGE_141_II_256</w:t>
      </w:r>
    </w:p>
    <w:p>
      <w:r>
        <w:t>FR: ATF 141 II 256</w:t>
      </w:r>
    </w:p>
    <w:p>
      <w:r>
        <w:t>IT: DTF 141 II 256</w:t>
      </w:r>
    </w:p>
    <w:p>
      <w:pPr>
        <w:pStyle w:val="Heading2"/>
      </w:pPr>
      <w:r>
        <w:t>Regeste</w:t>
      </w:r>
    </w:p>
    <w:p>
      <w:r>
        <w:t>Regeste Art. 16c bis Abs. 2 SVG; Bemessung des schweizerischen Führerausweisentzugs nach einer Verkehrsregelverletzung im Ausland. Bei einem Ersttäter bildet die Dauer des im Ausland ausgesprochenen Fahrverbots die obere Grenze des Ermessensbereichs der schweizerischen Behörde. Diese hat die Belastung, welche das ausländische Fahrverbot für den Täter dargestellt hat, angemessen zu berücksichtigen. Die Dauer des schweizerischen Führerausweisentzugs ist so festzusetzen, dass sich unter Anrechnung dieser Belastung eine gesamthafte Sanktion ergibt, welche die Dauer des ausländischen Fahrverbots nicht übersteigt (E. 2).</w:t>
      </w:r>
    </w:p>
    <w:p>
      <w:r>
        <w:t>Regeste Art. 16c bis al. 2 LCR; fixation du retrait de permis de conduire suisse à la suite d'une violation des règles de la circulation routière commise à l'étranger. Pour un délinquant primaire, la durée de l'interdiction de conduire prononcée à l'étranger constitue la limite supérieure de la marge de manoeuvre de l'autorité suisse. Celle-ci doit prendre en compte de manière appropriée l'inconvénient que l'interdiction de conduire à l'étranger a représenté pour cet automobiliste. La durée du retrait de permis de conduire suisse doit être fixée en tenant compte de cet inconvénient, de manière à ce qu'il en résulte une sanction globale ne dépassant pas la durée de l'interdiction de conduire prononcée à l'étranger (consid. 2).</w:t>
      </w:r>
    </w:p>
    <w:p>
      <w:r>
        <w:t>Regesto Art. 16c bis cpv. 2 LCStr; commisurazione del periodo di revoca della licenza di condurre svizzera dopo una violazione delle norme della circolazione stradale commessa all'estero. Per un autore primario, la durata del divieto di condurre pronunciato all'estero rappresenta il limite superiore del margine di apprezzamento dell'autorità svizzera. Quest'ultima deve prendere in considerazione adeguatamente l'aggravio che il divieto di condurre estero comporta per il conducente. La durata della revoca della licenza di condurre svizzera deve essere stabilita in modo che, computando tale aggravio, la sanzione complessiva non superi la durata del divieto di condurre pronunciato all'estero (consid. 2).</w:t>
      </w:r>
    </w:p>
    <w:p>
      <w:pPr>
        <w:pStyle w:val="Heading2"/>
      </w:pPr>
      <w:r>
        <w:t>Erwägungen</w:t>
      </w:r>
    </w:p>
    <w:p>
      <w:r>
        <w:rPr>
          <w:b/>
        </w:rPr>
        <w:t>E. 2.1</w:t>
      </w:r>
    </w:p>
    <w:p>
      <w:r>
        <w:t>Gemäss Art. 16c bis SVG (SR 741.01) wird nach einer Widerhandlung im Ausland der Führerausweis entzogen, wenn: a. im Ausland ein Fahrverbot verfügt wurde; und b. die Widerhandlung nach den Artikeln 16b und 16c als mittelschwer oder schwer zu qualifizieren ist (Abs. 1). Bei der Festlegung der Entzugsdauer sind die Auswirkungen des ausländischen Fahrverbots auf die betroffene Person angemessen zu berücksichtigen. Die Mindestentzugsdauer darf unterschritten werden. Die Entzugsdauer darf bei Personen, die im Administrativmassnahmenregister (Art. 104b) nicht verzeichnet sind, die am Begehungsort im Ausland verfügte Dauer des Fahrverbots nicht überschreiten (Abs. 2). Diese Bestimmung fügte der Gesetzgeber mit Bundesgesetz vom 20. März 2008, in Kraft seit 1. September 2008, in das Strassenverkehrsgesetz ein; dies im Anschluss an BGE 133 II 331 . Darin hatte das Bundesgericht in Änderung der Rechtsprechung befunden, für einen Warnungsentzug in der Schweiz nach einer Verkehrsregelverletzung im Ausland fehle es an der gesetzlichen Grundlage.</w:t>
      </w:r>
    </w:p>
    <w:p>
      <w:r>
        <w:rPr>
          <w:b/>
        </w:rPr>
        <w:t>E. 2.2</w:t>
      </w:r>
    </w:p>
    <w:p>
      <w:r>
        <w:t>Das Regierungspräsidium Karlsruhe verfügte gegen den Beschwerdeführer ein Fahrverbot. Die diesem vorgeworfenen drei Verkehrsregelverletzungen stellen unstreitig jede für sich eine schwere Widerhandlung gemäss Art. 16c Abs. 1 lit. a SVG dar. Die Voraussetzungen für den Führerausweisentzug nach Art. 16c bis Abs. 1 SVG sind daher erfüllt. Es geht einzig um seine Dauer.</w:t>
      </w:r>
    </w:p>
    <w:p>
      <w:r>
        <w:rPr>
          <w:b/>
        </w:rPr>
        <w:t>E. 2.3</w:t>
      </w:r>
    </w:p>
    <w:p>
      <w:r>
        <w:t>Gemäss Art. 16c bis Abs. 2 SVG sind bei der Festlegung der Entzugsdauer die Auswirkungen des ausländischen Fahrverbots auf die betroffene Person angemessen zu berücksichtigen. Die Mindestentzugsdauer darf unterschritten werden. Diese beiden Sätze waren bereits im bundesrätlichen Entwurf enthalten. Sie bezwecken die Vermeidung einer Doppelbestrafung (Botschaft vom 28. September 2007 zur Änderung des Strassenverkehrsgesetzes, BBl 2007 7622 zu Art. 16c bis ). Begeht eine Person mit schweizerischem Wohnsitz im Ausland ein Strassenverkehrsdelikt, kann der Tatortstaat eine Administrativmassnahme allein mit Wirkung für das eigene Staatsgebiet aussprechen. Den schweizerischen Führerausweis als solchen kann er nicht entziehen ( BGE 128 II 133 E. 4a S. 136 mit Hinweisen). Die Wirkung der im Ausland verfügten Administrativmassnahme ist daher beschränkt. Deshalb sieht BGE 141 II 256 S. 259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 BGE 128 II 133 E. 3b/bb S. 136 mit Hinweis).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 bis Abs. 2 Satz 2 SVG ausdrücklich zulässt. Diese Bestimmung geht als spätere und spezielle Art. 16 Abs. 3 Satz 2 SVG , wonach die Mindestentzugsdauer nicht unterschritten werden darf, vor.</w:t>
      </w:r>
    </w:p>
    <w:p>
      <w:r>
        <w:rPr>
          <w:b/>
        </w:rPr>
        <w:t>E. 2.4</w:t>
      </w:r>
    </w:p>
    <w:p>
      <w:r>
        <w:t>Gemäss Art. 16c bis Abs. 2 Satz 3 SVG darf die Entzugsdauer bei Personen, die im Administrativmassnahmenregister nicht verzeichnet sind, die am Begehungsort im Ausland verfügte Dauer des Fahrverbots nicht überschreiten. Dieser Satz wurde in der parlamentarischen Beratung in das Gesetz eingefügt. Damit wird dem Unrechtsgehalt der Verkehrsregelverletzung am ausländischen Begehungsort Rechnung getragen. Verwiesen wurde auf Art. 7 Abs. 3 StGB , der im Strafrecht bei Auslandtaten eine ähnliche Regelung kennt (AB 2008 N 171 und 282 [Voten Müller]). Art. 16c bis 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 BGE 141 II 256 S. 260 unhaltbaren Privilegierung führen würde(AB 2008 S 127 f.[Voten Bieriund Hess], 129 [Votum Leuenberger], 180 [Voten Bieri und Leuenberger]). Bei einem Ersttäter darf die schweizerische Behörde keine strengere Wertung vornehmen als die ausländische (vgl. AB 2008 N 415 [Voten Germanier und Berberat], 416 [Votum Müller]). Dass sie gegebenenfalls nach hiesigen Massstäben ein längeres Fahrverbot als gerechtfertigt angesehen hätte, spielt keine Rolle. Die Dauer des am Begehungsort ausgesprochenen Fahrverbots begrenzt den Ermessensspielraum der schweizerischen Behörde nach oben. Es verhält sich insoweit wie bei Art. 7 Abs. 3 StGB , wonach das Gericht bei den von jener Bestimmung erfassten Auslandtaten die Sanktionen so bestimmt, dass sie insgesamt für den Täter nicht schwerer wiegen als die Sanktionen nach dem Recht des Begehungsortes. Auch damit hat der Gesetzgeber eine obere Begrenzung des Ermessensbereichs festgelegt (DONATSCH/TAG, Verbrechenslehre, 9. Aufl. 2013, S. 51; POPP/KESHELAVA, in: Basler Kommentar, Strafrecht, Bd. I, 3. Aufl. 2013, N. 38 f. vor Art. 3 StGB ).</w:t>
      </w:r>
    </w:p>
    <w:p>
      <w:r>
        <w:rPr>
          <w:b/>
        </w:rPr>
        <w:t>E. 2.5</w:t>
      </w:r>
    </w:p>
    <w:p>
      <w:r>
        <w:t>Der Beschwerdeführer ist im Administrativmassnahmenregister nicht verzeichnet. Das deutsche Fahrverbot wurde vom 4. Juni bis zum 3. August 2014 vollzogen. Der Beschwerdeführer durfte somit während dieser Zeit in Deutschland kein Fahrzeug lenken. Dies berücksichtigte die Vorinstanz als neue Tatsache, was gemäss § 63 Abs. 4 des Verwaltungsrechtspflegegesetzes vom 1. April 1976 des Kantons Zug (BGS 162.1) zulässig war. Wie die Vorinstanz darlegt, ist der Beschwerdeführer in Deutschland regelmässig geschäftlich unterwegs. Das dortige Fahrverbot hat ihn deshalb getroffen. Die Vorinstanz erwägt, dieses hätte damit grundsätzlich eine Verringerung der Dauer des schweizerischen Führerausweisentzugs zur Folge. Sie lehnt eine solche dann aber ab wegen der Schwere der vom Beschwerdeführer begangenen Verkehrsregelverletzungen. Mit seiner rücksichtslosen Fahrweise habe er mehrmals eine grosse abstrakte Gefahr für die übrigen Verkehrsteilnehmer geschaffen. Eine Verringerung des zweimonatigen Ausweisentzugs sei deshalb auch in Anbetracht des Verbots der Doppelbestrafung nicht angezeigt.</w:t>
      </w:r>
    </w:p>
    <w:p>
      <w:r>
        <w:rPr>
          <w:b/>
        </w:rPr>
        <w:t>E. 2.6</w:t>
      </w:r>
    </w:p>
    <w:p>
      <w:r>
        <w:t>Dem kann nicht gefolgt werden. Die Dauer des deutschen Fahrverbots beträgt 2 Monate. Damit ist der Unrechtsgehalt der vom Beschwerdeführer begangenen Verkehrsregelverletzungen abgegolten. BGE 141 II 256 S. 261 Die ihm aufzuerlegende Sanktion darf somit 2 Monate nicht übersteigen. Massgeblich ist insoweit das gesamte Sanktionenpaket (oben E. 2.3). Da das deutsche Fahrverbot den Beschwerdeführer belastet hat, führte ein schweizerischer Führerausweisentzug von 2 Monaten dazu, dass er gesamthaft eine Sanktion zu tragen hätte, die 2 Monate übersteigt. Dies verletzt das Übermassverbot. Die Dauer des schweizerischen Führerausweisentzugs ist so festzusetzen, dass der Beschwerdeführer unter Berücksichtigung der Belastung, die der Vollzug des deutschen Fahrverbots für ihn dargestellt hat, eine Sanktion zu tragen hat, die 2 Monaten entspricht. Zwar ist einzuräumen, dass die Dauer des vom Regierungspräsidium Karlsruhe ausgesprochenen Fahrverbots nach hiesigen Massstäben als zu tief anzusehen wäre. Dies hat nach Art. 16c bis Abs. 2 Satz 3 SVG jedoch ausser Betracht zu bleiben. Danach kommt es auf den Unrechtsgehalt am Begehungsort an. Wenn die ausländischen Behörden eine Verkehrsregelverletzung anders werten und insbesondere Geschwindigkeitsüberschreitungen milder ahnden, haben die schweizerischen Behörden das hinzunehmen. Dass die Auffassung der Vorinstanz nicht richtig sein kann, zeigt auch Folgendes: Wäre der Beschwerdeführer praktisch nie in Deutschland unterwegs gewesen, weshalb ihn der Vollzug des dortigen Fahrverbots nicht getroffen hätte, hätte die Vorinstanz auch nur einen Führerausweisentzug von 2 Monaten aussprechen können. Damit würde in unterschiedlichen Fällen die gleiche Sanktion verhängt, was nicht angeht.</w:t>
      </w:r>
    </w:p>
    <w:p>
      <w:r>
        <w:rPr>
          <w:b/>
        </w:rPr>
        <w:t>E. 2.7</w:t>
      </w:r>
    </w:p>
    <w:p>
      <w:r>
        <w:t>Wie sich aus der Verfügung des Strassenverkehrsamts ergibt, vertrat dieses die Auffassung, dass die Belastung des - damals noch nicht vollzogenen - deutschen Fahrverbots für den Beschwerdeführer zu einer antragsgemässen Reduktion des schweizerischen Führerausweisentzugs auf einen Monat führen müsste. Eine solche Reduktion ist angemessen. Die Rückweisung an das Strassenverkehrsamt zur neuen Festsetzung der Höhe des Führerausweisentzugs erübrigt sich damit und das Bundesgericht kann selber entscheiden ( Art. 107 Abs. 1 BGG ). Die Dauer des Führerausweisentzugs wird auf einen Monat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