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97</w:t>
      </w:r>
    </w:p>
    <w:p>
      <w:r>
        <w:t>Bundesgericht (BGE), 2015-01-01, FR</w:t>
      </w:r>
    </w:p>
    <w:p>
      <w:r>
        <w:rPr>
          <w:b/>
        </w:rPr>
        <w:t xml:space="preserve">Quelle: </w:t>
      </w:r>
      <w:r>
        <w:t>https://mcp.opencaselaw.ch/entscheid/bge_BGE_141_III_97</w:t>
      </w:r>
    </w:p>
    <w:p>
      <w:r>
        <w:t>FR: ATF 141 III 97</w:t>
      </w:r>
    </w:p>
    <w:p>
      <w:r>
        <w:t>IT: DTF 141 III 97</w:t>
      </w:r>
    </w:p>
    <w:p>
      <w:pPr>
        <w:pStyle w:val="Heading2"/>
      </w:pPr>
      <w:r>
        <w:t>Regeste</w:t>
      </w:r>
    </w:p>
    <w:p>
      <w:r>
        <w:t>Regeste Genugtuung (Art. 47 OR). Das Prozessverhalten der Person, die eine unerlaubte Handlung begangen hat, und das Prozessverhalten deren Versicherung sind bei der Bestimmung der angemessenen Geldsumme, die dem Opfer einer Körperverletzung nach Art. 47 OR als Genugtuung zugesprochen werden kann, nicht zu berücksichtigen (E. 11).</w:t>
      </w:r>
    </w:p>
    <w:p>
      <w:r>
        <w:t>Regeste Réparation morale (art. 47 CO). Le comportement dans le procès de l'auteur de l'acte illicite, respectivement de son assurance, ne constitue pas un critère devant être pris en compte pour fixer l'indemnité satisfactoire qui peut être allouée à la victime de lésions corporelles en application de l'art. 47 CO (consid. 11).</w:t>
      </w:r>
    </w:p>
    <w:p>
      <w:r>
        <w:t>Regesto Riparazione del torto morale (art. 47 CO). Il comportamento nel processo dell'autore dell'atto illecito, rispettivamente della sua assicurazione, non costituisce un criterio che dev'essere considerato per fissare l'equa indennità che può essere attribuita alla vittima di una lesione corporale in applicazione dell'art. 47 CO (consid. 11).</w:t>
      </w:r>
    </w:p>
    <w:p>
      <w:pPr>
        <w:pStyle w:val="Heading2"/>
      </w:pPr>
      <w:r>
        <w:t>Erwägungen</w:t>
      </w:r>
    </w:p>
    <w:p>
      <w:r>
        <w:rPr>
          <w:b/>
        </w:rPr>
        <w:t>E. 11.1</w:t>
      </w:r>
    </w:p>
    <w:p>
      <w:r>
        <w:t>La recourante affirme pour finir que la cour cantonale a enfreint l' art. 47 CO en fixant à 80'000 fr. l'indemnité pour tort moral accordée au lésé. Soutenant que ce dernier n'est pas invalide, que toutes les séquelles qui résultaient des lésions somatiques ont été guéries et que la preuve des troubles neuropsychologiques dont il se plaint n'a pas été apportée, la recourante est d'avis qu'une indemnité de base de 1'000 fr. à 20'000 fr. serait suffisante, eu égard à la période d'hospitalisation, aux interventions chirurgicales subies et à la BGE 141 III 97 S. 98 rééducation suivie. A propos de la fixation de l'indemnité, si la défenderesse admet la violence du choc et la souffrance résultant du fait que la passagère du lésé est restée paraplégique, elle conteste être responsable de la longueur de la procédure, faisant valoir qu'elle a d'emblée reconnu sa responsabilité et versé rapidement des acomptes au lésé. Selon la recourante, le demandeur a déjà été largement indemnisé pour ce poste par le versement d'une indemnité pour atteinte à l'intégrité ( art. 24 et 25 LAA [RS 832.20]).</w:t>
      </w:r>
    </w:p>
    <w:p>
      <w:r>
        <w:rPr>
          <w:b/>
        </w:rPr>
        <w:t>E. 11.2</w:t>
      </w:r>
    </w:p>
    <w:p>
      <w:r>
        <w:t>En vertu de l' art. 47 CO ,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 art. 47 CO étant un cas d'application de l' art. 49 CO (cf. arrêt 4C.283/2005 du 18 janvier 2006 consid. 3.1.1, in JdT 2006 I p. 476).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 figurent avant tout le genre et la gravité de la lésion, l'intensité et la durée des répercussions sur la personnalité de la personne concernée, le degré de la faute de l'auteur ainsi que l'éventuelle faute concomitante de la victime ( ATF 132 II 117 consid. 2.2.2 p. 119; ATF 125 III 412 consid. 2a p. 417; arrêt 4A_373/2007 du 8 janvier 2008 consid. 3.2, non publié in ATF 134 III 97 ). L'indemnité allouée doit être équitable ( ATF 130 III 699 consid. 5.1 p. 704/705 et les arrêts cités). Le juge applique les règles du droit et de l'équité lorsque la loi le charge, comme l' art. 47 CO , de prononcer en tenant compte des circonstances (cf. art. 4 CC ). Le Tribunal fédéral ne revoit qu'avec réserve la décision d'équité prise en dernière instance cantonale. Il intervient lorsque celle-ci s'écarte sans raison des règles établies par la doctrine et la jurisprudence en matière de libre appréciation, lorsqu'elle repose sur des faits qui, dans le cas particulier, ne devaient jouer aucun rôle ou, au contraire,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135 III 121 consid. 2 p. 123). BGE 141 III 97 S. 99</w:t>
      </w:r>
    </w:p>
    <w:p>
      <w:r>
        <w:rPr>
          <w:b/>
        </w:rPr>
        <w:t>E. 11.3</w:t>
      </w:r>
    </w:p>
    <w:p>
      <w:r>
        <w:t>Au considérant 8.2 de son arrêt, p. 111 s., l'autorité cantonale a jugé que les premiers juges avaient correctement pris en compte l'extrême violence du choc subi par le lésé, les sept opérations chirurgicales qui ont été nécessaires, la longue rééducation et le traitement ambulatoire suivi depuis lors ainsi que les souffrances résiduelles. De même, la Cour d'appel a souligné que l'accident a assombri l'avenir professionnel du demandeur, qui se dévoilait alors sous les meilleurs auspices, et que le sinistre a été à l'origine de la rupture affective avec sa compagne. Elle a également retenu la longueur de la procédure (près de 13 ans entre l'ouverture d'action et le jugement de première instance) et l'attitude de la défenderesse, qui a nié sa responsabilité dès que le conseil du lésé a pris langue avec elle, sans jamais varier de position, et qui a traité le lésé de simulateur. Elle a donc admis qu'une indemnité satisfactoire de 80'000 fr. devait être allouée, ce qui, après déduction de l'indemnité pour atteinte à l'intégrité de 56'960 fr. versée par la SUVA, entraînait le paiement d'une indemnité résiduelle de 23'040 fr. (80'000 fr. - 56'960 fr.).</w:t>
      </w:r>
    </w:p>
    <w:p>
      <w:r>
        <w:rPr>
          <w:b/>
        </w:rPr>
        <w:t>E. 11.4</w:t>
      </w:r>
    </w:p>
    <w:p>
      <w:r>
        <w:t>Pour fixer le montant de l'indemnité pour tort moral, l'autorité cantonale a eu raison de mettre l'accent sur les souffrances physiques et morales endurées par le lésé. L'accident a occasionné à celui-ci de multiples fractures des membres inférieurs, des contusions graves du foie et de la rate, plus un violent choc à la tête, ayant entraîné une fracture de la pyramide nasale et de très nombreuses fractures dentaires. L'ampleur des blessures est attestée par la première intervention chirurgicale, qui a duré 27 heures. Six autres opérations ont suivi. Les soins hospitaliers et la rééducation se sont étalés sur près de neuf mois. La compagne d'alors du demandeur est restée quant à elle paraplégique. Le lésé, qui travaillait 50 à 60 heures par semaine en étant actif pour le compte de trois sociétés et qui gagnait annuellement plus de 220'000 fr. nets en 1991, a dû totalement arrêter les activités professionnelles qu'il menait alors avec succès. Depuis l'accident, il est atteint de troubles fonctionnels persistants qui provoquent notamment des déficits mnésiques et attentionnels. Sa capacité résiduelle de travail dans une activité adaptée est limitée à 30 %. S'appuyant sur l'opinion de HARDY LANDOLT (Zürcher Kommentar, 3 e éd. 2007, n os 190 et 191 ad art. 47 CO ), la cour cantonale a encore pris en considération le comportement dans le procès de l'auteur, respectivement de son assurance, ayant consisté dans le cas présent à nier tout dommage et à suspecter le lésé d'être un simulateur. Elle BGE 141 III 97 S. 100 ne saurait être suivie sur ce point. Avec ROLAND BREHM (Berner Kommentar, 4 e éd. 2013, n° 50 ad art. 47 CO ), il sied de retenir que ce critère n'entre pas en ligne de compte dans le cadre de la réparation morale qui peut être allouée à la victime de lésions corporelles en application de l' art. 47 CO . Si l'attitude du responsable en procédure atteint un caractère carrément vexatoire pour la victime, c'est alors l' art. 49 CO qui entre en jeu pour sanctionner l'atteinte grave portée aux droits de la personnalité de cette dernière. Cette dernière hypothèse n'est pas réalisée en l'occurrence. En revanche, l'autorité cantonale devait prendre en compte la faute grave commise par l'auteur, qui, en circulant en pleine nuit à vive allure sur une route cantonale avec un taux d'alcool dans le sang qui était encore supérieur à 1,11 g/kg quatre heures après l'accident, a montré du mépris pour la vie d'autrui. Quant au lésé, il ne faut pas oublier qu'aucune faute concomitante n'a pu lui être reprochée. En résumé, si le critère du comportement de l'auteur au cours du procès ne devait jouer aucun rôle pour fixer l'indemnité pour tort moral, les magistrats vaudois se devaient de considérer le degré de la faute commise par le responsable. A propos du quantum de l'indemnité, on peut rappeler que le Tribunal fédéral a jugé équitable une indemnité pour tort moral de 140'000 fr. en capital, dans le cas d'une motocycliste grièvement blessée dans un accident de la circulation, qui a entraîné un traumatisme cérébral laissant des séquelles irréversibles ( ATF 134 III 97 consid. 4 p. 99 s.). De même, il a trouvé récemment conforme au droit le versement d'une réparation morale du même montant - avant réduction pour faute de la victime - à un enfant qui, lors d'une descente à ski, a violemment heurté de la tête une barre de fer délimitant la piste et en est resté gravement handicapé (arrêt 4A_206/2014 du 18 septembre 2014 consid. 5). Dans ce contexte, il est possible de confirmer le montant de l'indemnité satisfactoire de 80'000 fr. accordée au demandeur par la cour cantonale, montant sur lequel est imputée l'indemnité pour atteinte à l'intégrité versée en application de la LAA. Le moyen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