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229</w:t>
      </w:r>
    </w:p>
    <w:p>
      <w:r>
        <w:t>Bundesgericht (BGE), 2015-05-29, DE</w:t>
      </w:r>
    </w:p>
    <w:p>
      <w:r>
        <w:rPr>
          <w:b/>
        </w:rPr>
        <w:t xml:space="preserve">Quelle: </w:t>
      </w:r>
      <w:r>
        <w:t>https://mcp.opencaselaw.ch/entscheid/bge_BGE_141_III_229</w:t>
      </w:r>
    </w:p>
    <w:p>
      <w:r>
        <w:t>FR: ATF 141 III 229</w:t>
      </w:r>
    </w:p>
    <w:p>
      <w:r>
        <w:t>IT: DTF 141 III 229</w:t>
      </w:r>
    </w:p>
    <w:p>
      <w:pPr>
        <w:pStyle w:val="Heading2"/>
      </w:pPr>
      <w:r>
        <w:t>Regeste</w:t>
      </w:r>
    </w:p>
    <w:p>
      <w:r>
        <w:t>Regeste Art. 190 Abs. 2 lit. e IPRG; verfahrensrechtlicher Ordre public, materielle Rechtskraft. Berücksichtigung der materiellen Rechtskraft eines ausländischen Schiedsentscheids durch ein schweizerisches Schiedsgericht unter dem Blickwinkel des verfahrensrechtlichen Ordre public (E. 3).</w:t>
      </w:r>
    </w:p>
    <w:p>
      <w:r>
        <w:t>Regeste Art. 190 al. 2 let. e LDIP; ordre public procédural, autorité de chose jugée. Prise en compte de l'autorité de chose jugée d'une sentence arbitrale étrangère par un tribunal arbitral suisse, sous l'angle de l'ordre public procédural (consid. 3).</w:t>
      </w:r>
    </w:p>
    <w:p>
      <w:r>
        <w:t>Regesto Art. 190 cpv. 2 lett. e LDIP; ordine pubblico procedurale, autorità di cosa giudicata. Considerazione dell'autorità di cosa giudicata di un lodo straniero da parte di un tribunale arbitrale svizzero sotto il profilo dell'ordine pubblico procedurale (consid. 3).</w:t>
      </w:r>
    </w:p>
    <w:p>
      <w:pPr>
        <w:pStyle w:val="Heading2"/>
      </w:pPr>
      <w:r>
        <w:t>Erwägungen</w:t>
      </w:r>
    </w:p>
    <w:p>
      <w:r>
        <w:rPr>
          <w:b/>
        </w:rPr>
        <w:t>E. 3</w:t>
      </w:r>
    </w:p>
    <w:p>
      <w:r>
        <w:t>Die Beschwerdeführerin bringt vor, das ICC Schiedsgericht mit Sitz in Zürich habe den verfahrensrechtlichen Ordre public verletzt ( Art. 190 Abs. 2 lit. e IPRG [SR 291]), indem es die materielle Rechtskraft des ersten Schiedsspruchs des ICC Schiedsgerichts mit Sitz in Frankfurt a.M. vom 30. September 2011 missachtet habe.</w:t>
      </w:r>
    </w:p>
    <w:p>
      <w:r>
        <w:rPr>
          <w:b/>
        </w:rPr>
        <w:t>E. 3.1</w:t>
      </w:r>
    </w:p>
    <w:p>
      <w:r>
        <w:t>Sie bringt nicht etwa vor, der im ersten Schiedsverfahren geltend gemachte Anspruch sei identisch mit der im zweiten Schiedsverfahren eingeklagten Forderung, sondern räumt ein, dass sich die erste Klage auf die Grundbeträge für die Jahre 2009 und 2010 bezog, während die im vorliegenden Schiedsverfahren erhobene Klage die Grundbeträge der Jahre 2011 und 2012 betrifft. Entsprechend beruft BGE 141 III 229 S. 233 sich die Beschwerdeführerin nicht etwa darauf, die zweite Klage sei aufgrund der Rechtskraftwirkung des ersten Schiedsentscheids ausgeschlossen gewesen, sondern anerkennt, dass das ICC Schiedsgericht mit Sitz in Zürich auf die zweite Klage zu Recht eintrat. Die Beschwerdeführerin stellt sich jedoch auf den Standpunkt, der erste Schiedsspruch sei präjudiziell für Vor- und Teilfragen des zweiten Schiedsverfahrens, weshalb sich das ICC Schiedsgericht mit Sitz in Zürich "an die verbindlichen Feststellungen von Rechts- und Sachverhaltsfragen des ersten Schiedsgerichts" hätte halten müssen. Die Beschwerdeführerin vertritt die Ansicht, in internationalen Schiedsverfahren mit internationalen Parteien sei nicht der herkömmliche, sondern ein internationaler Begriff der res iudicata anzuwenden. Die Rechtskraftwirkung des Schiedsspruchs eines ausländischen Schiedsgerichts entspreche daher nicht derjenigen eines Urteils eines inländischen staatlichen Gerichts. Die besondere Interessenlage der Parteien eines internationalen Schiedsverfahrens weiche von derjenigen der Parteien eines schweizerischen staatlichen Gerichtsverfahrens nämlich massgeblich ab, weshalb sich die materielle Rechtskraft auch auf die für den Entscheid ausschlaggebenden Erwägungen erstrecken müsse. Dies werde unter anderem im Schlussbericht der International Law Association (ILA) zum Problem der res iudicata (ILA Final Report on Res Judicata and Arbitration, Arbitration International, Bd. 25, Nr. 1 [2009] S. 67 ff.) betont, in dem ein breiter Begriff derAusschlusswirkung ("conclusive and preclusive effects") umschrieben werde, die sich insbesondere auch auf bereits beurteilte Tat- und Rechtsfragen beziehe. Die Rechtskraftwirkung des ersten Schiedsentscheids erstrecke sich demnach auch auf die Erwägung, dass die Grundbeträge nur dann geschuldet seien, wenn insbesondere die Leistungskriterien "billable hours" und "turnover from billable hours" nach Ziffer 5.3 BCA im betreffenden Jahr erfüllt würden. Das ICC Schiedsgericht mit Sitz in Zürich sei an diese rechtliche Begründung gebunden gewesen und hätte die Erfüllung der Voraussetzungen von Ziffer 5.3 BCA für den jährlichen Grundbetrag nicht abweichend beurteilen dürfen. Indem es dennoch erwogen habe, die fehlende Erfüllung der beiden Kriterien "billable hours" und "turnover from billable hours" reiche nicht aus, um dem Beschwerdegegner die Grundbeträge zu verweigern, habe sich das zweite Schiedsgericht in Widerspruch zu den rechtskräftigen Erwägungen des ersten Schiedsspruchs gesetzt, BGE 141 III 229 S. 234 womit es den verfahrensrechtlichen Ordre public im Sinne von Art. 190 Abs. 2 lit. e IPRG verletze. Selbst wenn der herkömmliche Begriff der res iudicata anzuwenden wäre, so die Beschwerdeführerin weiter, wäre das Schiedsgericht an die Feststellungen des ersten Schiedsspruchs zu den Voraussetzungen des Anspruchs auf die Grundbeträge gebunden gewesen, zumal die Urteilserwägungen auch gemäss bundesgerichtlicher Rechtsprechung präjudizielle Bedeutung erlangen könnten, namentlich bei einer Klageabweisung. Das Schiedsgericht habe im konkreten Fall gegen den Grundsatz verstossen, dass ein erster Schiedsspruch präjudiziell sei für Vor- und Teilfragen eines zweiten Prozesses.</w:t>
      </w:r>
    </w:p>
    <w:p>
      <w:r>
        <w:rPr>
          <w:b/>
        </w:rPr>
        <w:t>E. 3.2.1</w:t>
      </w:r>
    </w:p>
    <w:p>
      <w:r>
        <w:t>Der Ordre public ( Art. 190 Abs. 2 lit. e IPRG ) hat sowohl einen materiellen als auch einen verfahrensrechtlichen Gehalt. Ein Verstoss gegen den verfahrensrechtlichen Ordre public liegt vor bei einer Verletzung von fundamentalen und allgemein anerkannten Verfahrensgrundsätzen, deren Nichtbeachtung zum Rechtsempfinden in einem unerträglichen Widerspruch steht, so dass die Entscheidung als mit der in einem Rechtsstaat geltenden Rechts- und Wertordnung schlechterdings unvereinbar erscheint ( BGE 140 III 278 E. 3.1 S. 279; BGE 136 III 345 E. 2.1; BGE 132 III 389 E. 2.2.1 S. 392; BGE 128 III 191 E. 4a S. 194). Das Schiedsgericht verletzt den verfahrensrechtlichen Ordre public unter anderem, wenn es bei seinem Entscheid die materielle Rechtskraft eines früheren Entscheids unbeachtet lässt oder wenn es in seinem Endentscheid von der Auffassung abweicht, die es in einem Vorentscheid hinsichtlich einer materiellen Vorfrage geäussert hat ( BGE 140 III 278 E. 3.1 S. 279; BGE 136 III 345 E. 2.1 S. 348; BGE 128 III 191 E. 4a S. 194).</w:t>
      </w:r>
    </w:p>
    <w:p>
      <w:r>
        <w:rPr>
          <w:b/>
        </w:rPr>
        <w:t>E. 3.2.2</w:t>
      </w:r>
    </w:p>
    <w:p>
      <w:r>
        <w:t>Die Rechtskraftwirkung gilt sowohl auf nationaler als auch auf internationaler Ebene und regelt namentlich das Verhältnis zwischen einem Schiedsgericht mit Sitz in der Schweiz und einem ausländischen Gericht oder Schiedsgericht (Urteil 4A_374/2014 vom 26. Februar 2015 E. 4.2.1; vgl. BGE 140 III 278 E. 3.1 S. 279; BGE 127 III 279 E. 2). Erhebt demnach eine Partei bei einem Schiedsgericht mit Sitz in der Schweiz eine Klage, die mit einer durch einen ausländischen Gerichts- oder Schiedsentscheid rechtskräftig beurteilten Klage identisch ist, darf das Schiedsgericht darauf nicht eintreten, sofern der ausländische Entscheid nach Art. 25 bzw. Art. 194 IPRG in der Schweiz anerkannt werden kann (Urteil 4A_374/2014 vom BGE 141 III 229 S. 235 26. Februar 2015 E. 4.2.1; vgl. BGE 140 III 278 E. 3.1 S. 279; Urteil 4A_508/2010 vom 14. Februar 2011 E. 3.1). Mit der Anerkennung eines ausländischen Schiedsspruchs erlangt dieser dieselben Wirkungen wie ein inländisches Gerichtsurteil (Urteil 4A_374/2014 vom 26. Februar 2015 E. 4.2.2; vgl. MICHELE PATOCCHI/JERMINI, in: Basler Kommentar, Internationales Privatrecht, 3. Aufl. 2013, N. 136 zu Art. 194 IPRG ). Wendet eine Partei in einem Verfahren vor einem staatlichen Schweizer Gericht oder einem Schiedsgericht mit Sitz in der Schweiz ein, eine Frage sei durch ein ausländisches Schiedsgericht bereits rechtskräftig entschieden worden, hat dieses vorfrageweise zu prüfen, ob die Voraussetzungen für die Anerkennung des ausländischen Schiedsspruchs gegeben sind; ein selbständiges Anerkennungsverfahren ist nicht erforderlich (Urteile 4A_374/2014 vom 26. Februar 2015 E. 4.2.2 mit Hinweisen; 4A_508/2010 vom 14. Februar 2011 E. 3.1). Nach Art. 194 IPRG gilt für die Anerkennung und Vollstreckung ausländischer Schiedsentscheide das New Yorker Übereinkommen vom 10. Juni 1958 über die Anerkennung und Vollstreckung ausländischer Schiedssprüche (NYÜ; SR 0.277.12).</w:t>
      </w:r>
    </w:p>
    <w:p>
      <w:r>
        <w:rPr>
          <w:b/>
        </w:rPr>
        <w:t>E. 3.2.3</w:t>
      </w:r>
    </w:p>
    <w:p>
      <w:r>
        <w:t>Ob der durch eine ausländische Entscheidung beurteilte und der vor einem Schweizer Gericht bzw. Schiedsgericht geltend gemachte Anspruch identisch sind, beurteilt sich nach der lex fori , es sei denn, es ergebe sich aus einer internationalen Vereinbarung etwas Abweichendes; entsprechend sind die in der bundesgerichtlichen Rechtsprechung entwickelten Grundsätze zur Rechtskraftwirkung anzuwenden. Zu berücksichtigen ist, dass sich die Rechtskraftwirkung aus der entsprechenden ausländischen Entscheidung ergibt und daher vom Recht des Ursprungsstaats abhängt, weshalb sich die Voraussetzungen und Grenzen der materiellen Rechtskraft nach diesem ausländischen Recht richten ( BGE 140 III 278 E. 3.2). Die Rechtskraftwirkung eines ausländischen Entscheids kann demnach nicht weiter gehen als die Rechtskraft eines gleichlautenden Entscheids eines Schweizer Gerichts oder eines Schiedsgerichts mit Sitz in der Schweiz (Urteile 4A_374/2014 vom 26. Februar 2015 E. 4.2.2 a.E.; 4A_508/2010 vom 14. Februar 2011 E. 3.3; vgl. BGE 140 III 278 E. 3.2 S. 281). Die materielle Rechtskraft eines ausländischen Entscheids, die nach dem Recht des Ursprungsstaats unabhängig von den beurteilten Rechtsbegehren der Parteien auch die Urteilsbegründung erfassen würde, wäre in der Schweiz etwa auf BGE 141 III 229 S. 236 den Rahmen des Urteilsdispositivs zu beschränken ( BGE 140 III 278 E. 3.2 S. 281 mit Hinweis). Andererseits kann ein im Ausland ergangener Gerichts- oder Schiedsentscheid in der Schweiz keine weitergehenden Wirkungen entfalten, als ihm im Urteilsstaat zukommen würden (Urteile 4A_374/2014 vom 26. Februar 2015 E. 4.2.2 a.E.; 4A_508/2010 vom 14. Februar 2011 E. 3.3; vgl. BGE 140 III 278 E. 3.2 S. 281).</w:t>
      </w:r>
    </w:p>
    <w:p>
      <w:r>
        <w:rPr>
          <w:b/>
        </w:rPr>
        <w:t>E. 3.2.4</w:t>
      </w:r>
    </w:p>
    <w:p>
      <w:r>
        <w:t>Die Beschwerdeführerin verkennt diese Grundsätze, wenn sie dem Bundesgericht im Beschwerdeverfahren vorträgt, die materielle Rechtskraft des ausländischen Schiedsentscheids müsse sich "im Sinne der schweizerischen und internationalen Lehre zur Rechtskraft" auch auf die für den Entscheid ausschlaggebenden Erwägungen erstrecken. Zunächst trifft entgegen ihrer Ansicht nicht zu, dass das Bundesgericht bisher nie entschieden hätte, ob die Rechtskraftwirkung eines ausländischen Schiedsentscheids derjenigen eines Urteils eines inländischen staatlichen Gerichts entspreche. Das Bundesgericht wendet die für Gerichtsentscheide geltenden Grundsätze zur Rechtskraftwirkung bereits seit geraumer Zeit gleichermassen auf Schiedsentscheide an, wobei es auch in diesem Zusammenhang darauf hinweist, dass sich die Rechtskraftwirkung eines internationalen Schiedsentscheids auf das Urteilsdispositiv beschränkt und die Urteilsbegründung davon nicht erfasst wird ( BGE 128 III 191 E. 4a betreffend Rechtskraft des Entscheids eines internationalen Schiedsgerichts mit Sitz in der Schweiz). In einem neueren Entscheid hat es hinsichtlich der Rechtskraftwirkung eines ausländischen Schiedsentscheids dieselben Grundsätze angewendet wie bei einem ausländischen Urteil eines staatlichen Gerichts (Urteil 4A_508/2010 vom 14. Februar 2011 E. 3.3). Dies wurde in einem vor Kurzem ergangenen Urteil bestätigt, in dem das Bundesgericht ausdrücklich festhielt, dass die materielle Rechtskraft auch im internationalen Verhältnis gilt und unter anderem das Verhältnis zwischen einem Schiedsgericht mit Sitz in der Schweiz und einem ausländischen Schiedsgericht bestimmt, wobei sich der Umfang der Rechtskraftwirkung eines ausländischen Schiedsentscheids nach denselben Grundsätzen richtet wie bei einem ausländischen Gerichtsentscheid (Urteil 4A_374/2014 vom 26. Februar 2015 E. 4.2.1 und 4.2.2). Dass ein Schiedsspruch mit der Eröffnung die Wirkung eines rechtskräftigen gerichtlichen Entscheids hat, ist zudem im Bereich der BGE 141 III 229 S. 237 Binnenschiedsgerichtsbarkeit gesetzlich ausdrücklich vorgesehen ( Art. 387 ZPO ), gilt jedoch auch für Entscheide internationaler Schiedsgerichte mit Sitz in der Schweiz (SIMON ZINGG, in: Berner Kommentar, Schweizerische Zivilprozessordnung, Bd. I, 2012, N. 114 zu Art. 59 ZPO ; vgl. bereits RÜEDE/HADENFELDT, Schweizerisches Schiedsgerichtsrecht, 2. Aufl. 1993, S. 309 f.).</w:t>
      </w:r>
    </w:p>
    <w:p>
      <w:r>
        <w:rPr>
          <w:b/>
        </w:rPr>
        <w:t>E. 3.2.5</w:t>
      </w:r>
    </w:p>
    <w:p>
      <w:r>
        <w:t>Weder die von der Beschwerdeführerin ins Feld geführte "besondere Interessenlage der Parteien eines internationalen Schiedsverfahrens" noch die Wünschbarkeit international einheitlicher Standards und transnationaler Konzepte oder die von ihr erwähnten Empfehlungen einer privaten Organisation (ILA Final Report on Res Judicata and Arbitration, a.a.O.; dazu etwa BERGER/KELLERHALS, International and Domestic Arbitration in Switzerland, 3. Aufl. 2015, Rz. 1666 ff.) vermögen an dieser Rechtslage etwas zu ändern. Die Beschwerdeführerin macht denn auch zu Recht nicht etwa geltend, das New Yorker Übereinkommen oder ein anderer anwendbarer Staatsvertrag sehe eine abweichende Regelung der materiellen Rechtskraft vor. Für die Anwendung des von ihr befürworteten weiten Begriffs der Rechtskraft "nach weltweit verbreitetem Konzept anglo-amerikanischer Herkunft" besteht keine rechtliche Grundlage. Abgesehen davon verkennt die Beschwerdeführerin, dass sich die Rechtskraftwirkung eines ausländischen Schiedsspruchs aus der entsprechenden ausländischen Entscheidung ergibt, weshalb er in der Schweiz von vornherein nur so weit wirken kann, wie es das Prozessrecht des Ursprungsstaats vorsieht. Dass die Rechtskraftwirkung des fraglichen Entscheids des ICC Schiedsgerichts mit Sitz in Frankfurt a.M. nach deutschem Recht über das Dispositiv hinaus auch die Urteilsbegründung erfassen würde, macht sie jedoch zu Recht nicht geltend (vgl. statt vieler JOACHIM MÜNCH, in: Münchener Kommentar zur Zivilprozessordnung, Bd. 3: §§ 1025-1109, 4. Aufl. 2013, N. 14 f. zu § 1055 ZPO ; vgl. auch BGE 138 III 714 E. 3.2, wonach das Bundesgericht selbst bei der Prüfung von Vorfragen nach ausländischem Recht der in der anwendbaren ausländischen Rechtsordnung klar herrschenden Auffassung und bei Kontroversen zwischen Rechtsprechung und Lehre der höchstrichterlichen Judikatur folgt). Die Bindungswirkung des Entscheids des ICC Schiedsgerichts mit Sitz in Frankfurt a.M. vom 30. September 2011 ist daher nach den BGE 141 III 229 S. 238 vom Bundesgericht entwickelten Grundsätzen zur materiellen Rechtskraft zu beurteilen.</w:t>
      </w:r>
    </w:p>
    <w:p>
      <w:r>
        <w:rPr>
          <w:b/>
        </w:rPr>
        <w:t>E. 3.2.6</w:t>
      </w:r>
    </w:p>
    <w:p>
      <w:r>
        <w:t>Die Beschwerdeführerin macht zu Unrecht geltend, das ICC Schiedsgericht mit Sitz in Zürich sei selbst dann an die Feststellungen des ersten Schiedsspruchs zu den vertraglichen Voraussetzungen des Anspruchs auf die Grundbeträge gebunden gewesen, wenn der Beurteilung der vom Bundesgericht verwendete Begriff der res iudicata zugrunde gelegt werde. Die Rechtskraftwirkung tritt nur so weit ein, als über den geltend gemachten Anspruch entschieden worden ist. Inwieweit dies der Fall ist, ergibt die Auslegung des Urteils, zu der dessen ganzer Inhalt heranzuziehen ist. Zwar beschränkt sich die Rechtskraftwirkung auf das Urteilsdispositiv; doch ergibt sich dessen Tragweite vielfach erst aus den Urteilserwägungen, namentlich im Falle einer Klageabweisung ( BGE 121 III 474 E. 4a S. 478). Die Bedeutung des konkreten Urteilsdispositivs ist demnach im Einzelfall anhand der gesamten Urteilserwägungen zu beurteilen ( BGE 136 III 345 E. 2.1 S. 348 mit Hinweisen). Zwar trifft zu, dass zur Beurteilung, bezüglich welcher Forderung die erste Schiedsklage rechtskräftig abgewiesen wurde, die Erwägungen des Entscheids des ICC Schiedsgerichts mit Sitz in Frankfurt a.M. vom 30. September 2011 heranzuziehen waren. Entgegen der Behauptung der Beschwerdeführerin hat sich das ICC Schiedsgericht mit Sitz in Zürich aber durchaus mit den Erwägungen des ersten Schiedsspruchs auseinandergesetzt und hat den von ihr erhobenen Einwand der Rechtskraftwirkung des ersten Schiedsentscheids mit Zwischenentscheid Nr. 5 vom 18. März 2014 mit eingehender Begründung abgewiesen. Es hat die im ersten Schiedsverfahren erhobene Klage zutreffend als mit der im zweiten Schiedsverfahren erhobenen Klage nicht identisch erachtet, weil diese die Grundbeträge der Jahre 2011 und 2012 betraf, während sich jene auf die Grundbeträge für die Jahre 2009 und 2010 bezog, was im Übrigen auch die Beschwerdeführerin anerkennt. Entgegen der in der Beschwerde vertretenen Ansicht ergibt sich keine weitere Bindungswirkung bezüglich der rechtlichen Erwägungen im ersten Schiedsentscheid; bei dessen Auslegung von Ziffer 5.3 BCA handelt es sich um blosse Glieder des Subsumtionsschlusses, die für sich allein nicht in materielle Rechtskraft erwachsen ( BGE 121 III 474 E. 4a S. 478; vgl. zu einem Fall der Klageabweisung bei verschiedenen BGE 141 III 229 S. 239 Forderungen aus demselben Vertrag auch Urteil 4A_352/2014 vom 9. Februar 2015 E. 3). Die Beschwerdeführerin verkennt, dass diese Vertragsauslegung im ersten Entscheid nicht selbst Streitgegenstand war, indem über diese Frage ein Feststellungsurteil gefällt worden wäre. Entgegen ihrer Ansicht lässt sich aus der bundesgerichtlichen Rechtsprechung zur materiellen Rechtskraft keine Bindung des zweiten Schiedsgerichts an die rechtlichen Erwägungen des ersten Entscheids ableiten. Das ICC Schiedsgericht mit Sitz in Zürich, das eine andere Forderung als dasjenige mit Sitz in Frankfurt a.M. zu beurteilen hatte, konnte den eingeklagten Anspruch von Grund auf neu prüfen und war weder an die tatsächlichen Feststellungen noch an die rechtlichen Erwägungen des ersten Schiedsentscheids gebunden. Das ICC Schiedsgericht mit Sitz in Zürich hat daher den verfahrensrechtlichen Ordre public ( Art. 190 Abs. 2 lit. e IPRG ) nicht verletzt, wenn es seinem Entscheid eine eigene Auslegung von Ziffer 5.3 BCA zugrunde legte. Im Gegenteil wäre ihm eine Ordre public-Widrigkeit vorzuwerfen, wenn es sich bei der Beurteilung des Klagebegehrens an die Vertragsauslegung im ersten Schiedsentscheid gebunden erachtet und auf eine entsprechende Prüfung verzichtet hätte, obwohl im ersten Entscheid über einen anderen Anspruch entschieden worden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