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141</w:t>
      </w:r>
    </w:p>
    <w:p>
      <w:r>
        <w:t>Bundesgericht (BGE), 2015-03-23, FR</w:t>
      </w:r>
    </w:p>
    <w:p>
      <w:r>
        <w:rPr>
          <w:b/>
        </w:rPr>
        <w:t xml:space="preserve">Quelle: </w:t>
      </w:r>
      <w:r>
        <w:t>https://mcp.opencaselaw.ch/entscheid/bge_BGE_141_III_141</w:t>
      </w:r>
    </w:p>
    <w:p>
      <w:r>
        <w:t>FR: ATF 141 III 141</w:t>
      </w:r>
    </w:p>
    <w:p>
      <w:r>
        <w:t>IT: DTF 141 III 141</w:t>
      </w:r>
    </w:p>
    <w:p>
      <w:pPr>
        <w:pStyle w:val="Heading2"/>
      </w:pPr>
      <w:r>
        <w:t>Regeste</w:t>
      </w:r>
    </w:p>
    <w:p>
      <w:r>
        <w:t>Regeste Art. 17 und 140 Abs. 2 SchKG, Art. 39 VZG; Lastenverzeichnis, Rechtsweg. Unterscheidung zwischen Beschwerde und Lastenbereinigungsklage; Form der Bestreitung (E. 4.2). Rechtsweg im Fall, dass der Schuldner die Anwendung des im Grundbuch eingetragenen Zinssatzes auf die Forderung und den Beginn des Zinsenlaufs bestreitet (E. 4.3).</w:t>
      </w:r>
    </w:p>
    <w:p>
      <w:r>
        <w:t>Regeste Art. 17 et 140 al. 2 LP, art. 39 ORFI; état des charges, voie de droit. Distinction entre plainte et action en contestation de l'état des charges; forme de l'opposition (consid. 4.2). Voie ouverte lorsque le débiteur conteste l'application à la créance du taux d'intérêt inscrit au Registre foncier et le point de départ des intérêts (consid. 4.3).</w:t>
      </w:r>
    </w:p>
    <w:p>
      <w:r>
        <w:t>Regesto Art. 17 e 140 cpv. 2 LEF, art. 39 RFF; elenco oneri, via di ricorso. Distinzione tra ricorso e azione di contestazione dell'elenco oneri; forma dell'opposizione (consid. 4.2). Via di ricorso aperta quando il debitore contesta l'applicazione del tasso d'interesse iscritto nel registro fondiario al credito ed il momento a partire dal quale decorrono gli interessi (consid. 4.3).</w:t>
      </w:r>
    </w:p>
    <w:p>
      <w:pPr>
        <w:pStyle w:val="Heading2"/>
      </w:pPr>
      <w:r>
        <w:t>Erwägungen</w:t>
      </w:r>
    </w:p>
    <w:p>
      <w:r>
        <w:rPr>
          <w:b/>
        </w:rPr>
        <w:t>E. 4.2</w:t>
      </w:r>
    </w:p>
    <w:p>
      <w:r>
        <w:t>A l'instar de l'état des charges dans la poursuite par voie de faillite ( art. 247 ss LP ; cf. ATF 119 III 84 consid. 2) - qui fait partie intégrante de l'état de collocation (art. 125 al. 2 de l'ordonnance du Tribunal fédéral du 23 avril 1920 sur la réalisation forcée des immeubles [ORFI; RS 281.42]) -, l'état des charges dans la poursuite par voie de saisie ou de réalisation de gage ( art. 140 et 156 al. 1 LP ; art. 34 ss et 102 ORFI ) est susceptible de plainte à l'autorité de surveillance ( art. 17 LP ) lorsque l'office des poursuites a violé des prescriptions formelles à l'occasion de son établissement ( ATF 120 III 20 consid. 1; arrêt 5A_275/2012 du 29 juin 2012 consid. 2.1 avec les citations; cf. pour la doctrine: INGRID JENT-SØRENSEN, Die Rechtsdurchsetzung bei der Grundstückverwertung in der Spezialexekution, 2003, p. 134 ss et les nombreuses références). En revanche, l'action en épuration de l'état des charges est ouverte lorsque le demandeur entend contester l'existence, l'étendue, le rang ou l'exigibilité d'un droit inscrit à l'état des charges ( art. 37 al. 2 ORFI ; JENT-SØRENSEN, op. cit., p. 178 ss; FRANÇOIS BOHNET, Actions civiles, 2014, § 124 avec les références). Cette distinction est consacrée de longue date par la jurisprudence (cf. notamment: ATF 30 I 148 consid. 1; 38 I 273 ; 43 III 302 consid. 1; 57 III 131 consid. 1; ATF 140 III 234 consid. 3.1). La contestation ne doit pas être motivée et ne doit pas non plus indiquer si elle porte sur la créance même, le droit de gage, le rang ou l'exigibilité (JENT-SØRENSEN, op. cit., n. 363 ss p. 151 ss; GERHARD KUHN, in Commentaire ORFI, 2012, n° 6 ad art. 37 ORFI et les références).</w:t>
      </w:r>
    </w:p>
    <w:p>
      <w:r>
        <w:rPr>
          <w:b/>
        </w:rPr>
        <w:t>E. 4.3</w:t>
      </w:r>
    </w:p>
    <w:p>
      <w:r>
        <w:t>En l'espèce, selon l'arrêt entrepris, invoquant l' art. 140 LP , le recourant a "contesté le taux d'intérêt calculé aux cédules de deuxième rang" ainsi que la date de départ des intérêts au 5 janvier 2011. Plus particulièrement, il a fait valoir que devait figurer à l'état des charges l'intérêt moratoire ordinaire de 5 %, ainsi qu'il en allait pour la Banque B., et que les intérêts devaient courir dès le jour de la vente, dès lors que le détenteur des titres ne les avait pas produits. Face à une telle requête, la Cour des poursuites et faillites ne pouvait se retrancher, par renvoi aux motifs de l'autorité inférieure de BGE 141 III 141 S. 144 surveillance, derrière l'obligation, découlant de l' art. 36 al. 2 ORFI (cf. aussi ATF 112 III 102 consid. 1; ATF 121 III 24 consid. 2b et les références), pour l'office de porter à l'état des charges celles figurant dans l'extrait du Registre foncier. Il ne ressort pas du courrier du recourant que celui-ci aurait reproché à l'office d'avoir porté à l'état des charges le taux de 10 % ou qu'il se serait prévalu d'un autre défaut de nature formelle, comme une erreur de report ou une transcription peu claire ou incomplète, griefs pouvant faire l'objet d'une plainte. Il apparaît qu'il s'est plaint de l'application à la créance du taux d'intérêt de 10 % tel qu'il résultait du Registre foncier et du point de départ des intérêts. Contrairement à ce qu'a retenu l'autorité cantonale, il s'en est ainsi pris à l'étendue de la créance garantie (cf. art. 818 CC ; cf. PIERRE-ROBERT GILLIÉRON, Commentaire de la loi fédérale sur la poursuite pour dettes et la faillite, vol. II, 2000, n° 53 ad art. 140 LP ; DÜRR/ZOLLINGER, Zürcher Kommentar, 2 e éd. 2013, n os</w:t>
      </w:r>
    </w:p>
    <w:p>
      <w:r>
        <w:rPr>
          <w:b/>
        </w:rPr>
        <w:t>E. 6</w:t>
      </w:r>
    </w:p>
    <w:p>
      <w:r>
        <w:t>et 12 ad art. 818 CC ), grief qui déclenchait l'ouverture de la procédure d'épuration des charges conformément aux art. 106-109 LP (art. 140 al. 2, 2 e phrase, LP; ATF 112 III 109 consid. 4a; arrêt 5A_272/2014 du 21 juillet 2014 consid. 4.1). Selon l' art. 39, 1 re phrase, ORFI, applicable par renvoi de l' art. 102 ORFI , l'office devait ainsi procéder conformément à l' art. 107 al. 5 LP , soit répartir les rôles dans la procédure d'épuration de l'état des charges (cf. pour les principes de répartition: art. 39, 2 e phrase, ORFI; arrêt 5A_272/2014 du 21 juillet 2014 consid. 4.1) et assigner un délai péremptoire de vingt jours au demandeur pour ouvrir action (BOHNET, op. cit., p. 1366).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