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85</w:t>
      </w:r>
    </w:p>
    <w:p>
      <w:r>
        <w:t>Bundesgericht (BGE), 2013-12-23, DE</w:t>
      </w:r>
    </w:p>
    <w:p>
      <w:r>
        <w:rPr>
          <w:b/>
        </w:rPr>
        <w:t xml:space="preserve">Quelle: </w:t>
      </w:r>
      <w:r>
        <w:t>https://mcp.opencaselaw.ch/entscheid/bge_BGE_140_V_85</w:t>
      </w:r>
    </w:p>
    <w:p>
      <w:r>
        <w:t>FR: ATF 140 V 85</w:t>
      </w:r>
    </w:p>
    <w:p>
      <w:r>
        <w:t>IT: DTF 140 V 85</w:t>
      </w:r>
    </w:p>
    <w:p>
      <w:pPr>
        <w:pStyle w:val="Heading2"/>
      </w:pPr>
      <w:r>
        <w:t>Regeste</w:t>
      </w:r>
    </w:p>
    <w:p>
      <w:r>
        <w:t>Regeste Art. 53 Abs. 2 ATSG; Art. 18 Abs. 1 UVG; Wiedererwägung einer Invalidenrente. Eine Wiedererwägung einer prozentgenauen Rente kann nur dann erfolgen, wenn die Differenz des Invaliditätsgrades zu der als zweifellos unrichtig erkannten Verfügung mindestens 5 Prozentpunkte beträgt. Dies gilt auch im Rahmen einer Motivsubstitution durch das kantonale Gericht (E. 4).</w:t>
      </w:r>
    </w:p>
    <w:p>
      <w:r>
        <w:t>Regeste Art. 53 al. 2 LPGA; art. 18 al. 1 LAA; reconsidération d'une rente d'invalidité. La reconsidération d'une rente fixée à un taux précis ne peut avoir lieu que si la différence du taux d'invalidité par rapport à la décision qualifiée de manifestement erronée s'élève au moins à 5 pour cent. Cela est aussi valable en cas de substitution de motif opérée par le tribunal cantonal (consid. 4).</w:t>
      </w:r>
    </w:p>
    <w:p>
      <w:r>
        <w:t>Regesto Art. 53 cpv. 2 LPGA; art. 18 cpv. 1 LAINF; riconsiderazione di una rendita d'invalidità. La riconsiderazione di una rendita stabilita ad un tasso preciso può aver luogo solo laddove la differenza del grado d'invalidità rispetto alla decisione ritenuta manifestamente erronea raggiunga almeno il 5 per cento. Ciò vale anche nell'ambito di una sostituzione dei motivi effettuata dal tribunale cantonale (consid. 4).</w:t>
      </w:r>
    </w:p>
    <w:p>
      <w:pPr>
        <w:pStyle w:val="Heading2"/>
      </w:pPr>
      <w:r>
        <w:t>Erwägungen</w:t>
      </w:r>
    </w:p>
    <w:p>
      <w:r>
        <w:rPr>
          <w:b/>
        </w:rPr>
        <w:t>E. 4.1</w:t>
      </w:r>
    </w:p>
    <w:p>
      <w:r>
        <w:t>Ändert sich der Invaliditätsgrad einer Rentenbezügerin oder eines Rentenbezügers erheblich, so wird die Rente gemäss Art. 17 Abs. 1 ATSG (SR 830.1) von Amtes wegen oder auf Gesuch hin für die Zukunft entsprechend erhöht, herabgesetzt oder aufgehoben. Der Versicherungsträger kann zudem nach Art. 53 Abs. 2 ATSG auf formell rechtskräftige Verfügungen oder Einspracheentscheide zurückkommen, wenn diese zweifellos unrichtig sind und wenn ihre Berichtigung von erheblicher Bedeutung ist.</w:t>
      </w:r>
    </w:p>
    <w:p>
      <w:r>
        <w:rPr>
          <w:b/>
        </w:rPr>
        <w:t>E. 4.2</w:t>
      </w:r>
    </w:p>
    <w:p>
      <w:r>
        <w:t>Gemäss ständiger Rechtsprechung kann das Gericht eine Revisionsverfügung des Versicherungsträgers mit der Begründung schützen, es liege zwar kein Revisionsgrund im Sinne von Art. 17 Abs. 1 ATSG vor, wohl aber sei die ursprüngliche Verfügung zweifellos unrichtig gewesen, weshalb gemäss Art. 53 Abs. 2 ATSG ein Wiedererwägungsgrund vorliege ( BGE 125 V 368 E. 3 S. 369; SVR 2011 IV Nr. 20 S. 53, 9C_303/2010 E. 4).</w:t>
      </w:r>
    </w:p>
    <w:p>
      <w:r>
        <w:rPr>
          <w:b/>
        </w:rPr>
        <w:t>E. 4.3</w:t>
      </w:r>
    </w:p>
    <w:p>
      <w:r>
        <w:t>Die Erheblichkeit der Sachverhaltsänderung, welche Voraussetzung für eine Revision der Rente der Unfallversicherung nach Art. 17 Abs. 1 ATSG ist, bejaht das Bundesgericht, wenn sich der Invaliditätsgrad um 5 Prozentpunkte ändert ( BGE 133 V 545 E. 6.2 S. 547; vgl. auch Urteil 8C_211/2013 vom 3. Oktober 2013 E. 4.3). So wurde ein Revisionsgrund verneint in einem Fall, in dem die Differenz des Invaliditätsgrades gegenüber der ursprünglichen Rentenverfügung (von 70 % auf 74 %) weniger als 5 Prozentpunkte betrug, obwohl die prozentuale Erhöhung des Invaliditätsgrades 5,7 % ausmachte (vgl. Urteil des Eidg. Versicherungsgerichts U 267/05 vom 19. Juli 2006 E. 3.3).</w:t>
      </w:r>
    </w:p>
    <w:p>
      <w:r>
        <w:rPr>
          <w:b/>
        </w:rPr>
        <w:t>E. 4.4</w:t>
      </w:r>
    </w:p>
    <w:p>
      <w:r>
        <w:t>Gemäss BGE 119 V 475 E. 1c S. 480 ist die Berichtigung einer zweifellos unrichtigen Verfügung stets von erheblicher Bedeutung, BGE 140 V 85 S. 88 wenn sie periodische Leistungen zum Gegenstand hat. Soweit ersichtlich bis anhin nicht beantwortet ist die Frage, ob dies auch dann gilt, wenn sich die zweifellose Unrichtigkeit der ursprünglichen Verfügung nicht auf den Bestand bzw. den Nichtbestand der periodischen Leistung, sondern lediglich auf deren Höhe bezieht. Es wäre nicht ohne weiteres nachzuvollziehen, eine geringfügige Korrektur der Rentenhöhe als von erheblicher Bedeutung und somit einer Wiedererwägung zugänglich zu qualifizieren, während bei einer entsprechenden Veränderung des Sachverhaltes eine Revision mangels Erheblichkeit der Änderung abgelehnt würde. Zudem erschiene es als wenig sinnvoll, die Revision nach Art. 17 Abs. 1 ATSG an strengere Voraussetzungen zu knüpfen als die Wiedererwägung nach Art. 53 Abs. 2 ATSG . Daraus folgt, dass auch eine Wiedererwägung einer prozentgenauen Rente nur dann erfolgen kann, wenn die Differenz zu der als zweifellos unrichtig erkannten Verfügung mindestens 5 Prozentpunkte beträgt. Die entsprechende Rechtsprechung zur Erheblichkeit der Sachverhaltsänderung bei der Revision (vgl. E. 4.3 hievor) gilt demnach auch bezüglich der erheblichen Bedeutung der Korrektur bei der Wiedererwägung einer Rentenzusprache der Unfallversicherung. Diese 5 %-Grenze ist nicht nur von der Verwaltung bei der Wiedererwägung im engeren Sinn zu beachten, sondern auch von den Gerichten im Rahmen einer Substitution der Begründung einer Rentenanpassung im Sinne von BGE 125 V 368 E. 3 S. 369.</w:t>
      </w:r>
    </w:p>
    <w:p>
      <w:r>
        <w:rPr>
          <w:b/>
        </w:rPr>
        <w:t>E. 4.5</w:t>
      </w:r>
    </w:p>
    <w:p>
      <w:r>
        <w:t>Mit Verfügung vom 11. November 2003 sprach die Beschwerdeführerin der Versicherten eine Rente aufgrund eines Invaliditätsgrades von 58 % zu. Die Vorinstanz bejahte die zweifellose Unrichtigkeit dieser Verfügung und erhöhte den Invaliditätsgrad per 1. November 2010 auf 60 %. Letztinstanzlich beantragt die Beschwerdeführerin die (wiedererwägungsweise) Senkung des Invaliditätsgrades auf 55 %. Gemäss den vorstehenden Erwägungen ist weder eine Erhöhung des Invaliditätsgrades von 58 % auf 60 %, noch eine Senkung desselben von 58 % auf 55 % eine Korrektur von erheblicher Bedeutung. Damit ist keine Wiedererwägung per 1. November 2010 möglich; der für die Rente massgebliche Invaliditätsgrad beträgt auch über dieses Datum hinaus 58 %. Entsprechend ist die Beschwerde der Allianz in dem Sinne teilweise gutzuheissen, als Dispositivziffern 2 und 3 des vorinstanzlichen Entscheides aufzuheben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