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538</w:t>
      </w:r>
    </w:p>
    <w:p>
      <w:r>
        <w:t>Bundesgericht (BGE), 2014-11-14, DE</w:t>
      </w:r>
    </w:p>
    <w:p>
      <w:r>
        <w:rPr>
          <w:b/>
        </w:rPr>
        <w:t xml:space="preserve">Quelle: </w:t>
      </w:r>
      <w:r>
        <w:t>https://mcp.opencaselaw.ch/entscheid/bge_BGE_140_V_538</w:t>
      </w:r>
    </w:p>
    <w:p>
      <w:r>
        <w:t>FR: ATF 140 V 538</w:t>
      </w:r>
    </w:p>
    <w:p>
      <w:r>
        <w:t>IT: DTF 140 V 538</w:t>
      </w:r>
    </w:p>
    <w:p>
      <w:pPr>
        <w:pStyle w:val="Heading2"/>
      </w:pPr>
      <w:r>
        <w:t>Regeste</w:t>
      </w:r>
    </w:p>
    <w:p>
      <w:r>
        <w:t>Regeste Art. 21 Abs. 2 IVG; Art. 14 IVV; Ziff. 9.01 und 9.02 HVI-Anhang; Anspruch auf eine elektrische Schiebe- und Bremshilfe. Der Umstand, dass eine gehunfähige Person einen Rollstuhl mit elektrischer Schiebe- und Bremshilfe nicht selbständig bedienen kann, schliesst die Abgabe des Hilfsmittels aus (Bestätigung der Rechtsprechung; E. 3-6).</w:t>
      </w:r>
    </w:p>
    <w:p>
      <w:r>
        <w:t>Regeste Art. 21 al. 2 LAI; art. 14 RAI; ch. 9.01 et 9.02 OMAI Annexe; droit à un système de démarrage et de freinage électrique. La circonstance qu'une personne invalide ne peut pas utiliser seule le système de démarrage et de freinage électrique du fauteuil roulant exclut la remise de ce moyen auxiliaire (confirmation de la jurisprudence; consid. 3-6).</w:t>
      </w:r>
    </w:p>
    <w:p>
      <w:r>
        <w:t>Regesto Art. 21 cpv. 2 LAI; art. 14 OAI; n. 9.01 e 9.02 OMAI Allegato; diritto a un sistema elettrico di accelerazione e di freni. Se una persona invalida non può usare autonomamente il sistema elettrico di accelerazione e di freni di una carrozzella, è esclusa la consegna di questo mezzo ausiliario (conferma della giurisprudenza; consid. 3-6).</w:t>
      </w:r>
    </w:p>
    <w:p>
      <w:pPr>
        <w:pStyle w:val="Heading2"/>
      </w:pPr>
      <w:r>
        <w:t>Erwägungen</w:t>
      </w:r>
    </w:p>
    <w:p>
      <w:r>
        <w:rPr>
          <w:b/>
        </w:rPr>
        <w:t>E. 3</w:t>
      </w:r>
    </w:p>
    <w:p>
      <w:r>
        <w:t>Es steht fest und ist unbestritten, dass die Versicherte seit Geburt an einer dyskinetischen Cerebralparese bei einem Status nach neonataler Asphyxie (Verordnung vom 9. Dezember 1985 über Geburtsgebrechen [GgV; SR 831.232.21], GgV Anhang Ziff. 390) leidet. Streitig und zu prüfen ist demgegenüber, ob sie einen Anspruch auf einen Elektro-Hilfsantrieb für ihren Handrollstuhl haben kann, obwohl sie auch mit diesem zusätzlichen Gerät nicht wird selbstständig unterwegs sein können.</w:t>
      </w:r>
    </w:p>
    <w:p>
      <w:r>
        <w:rPr>
          <w:b/>
        </w:rPr>
        <w:t>E. 4.1</w:t>
      </w:r>
    </w:p>
    <w:p>
      <w:r>
        <w:t>Gemäss Art. 21 Abs. 1 Satz 1 IVG haben versicherte Personen im Rahmen einer vom Bundesrat aufzustellenden Liste Anspruch auf jene Hilfsmittel, welche sie für die Ausübung der Erwerbstätigkeit oder der Tätigkeit im Aufgabenbereich, zur Erhaltung oder Verbesserung der Erwerbsfähigkeit, für die Schulung, die Aus- und Weiterbildung oder zum Zwecke der funktionellen Angewöhnung benötigen. Versicherte, die infolge ihrer Invalidität für die BGE 140 V 538 S. 540 Fortbewegung, für die Herstellung des Kontaktes mit der Umwelt oder für die Selbstsorge kostspielige Geräte brauchen, haben im Rahmen der vom Bundesrat aufzustellenden Liste ohne Rücksicht auf die Erwerbsfähigkeit Anspruch auf solche Hilfsmittel ( Art. 21 Abs. 2 IVG ). In Art. 14 IVV (SR 831.201)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 Mit den Hilfsmitteln für Versicherte, die infolge ihrer Invalidität für die Fortbewegung kostspieliger Geräte bedürfen, befasst sich Ziff. 9 HVI-Anhang (Rollstühle), wobei unterschieden wird zwischen Rollstühlen ohne motorischen Antrieb (Ziff. 9.01) und Elektrorollstühlen (Ziff. 9.02).</w:t>
      </w:r>
    </w:p>
    <w:p>
      <w:r>
        <w:rPr>
          <w:b/>
        </w:rPr>
        <w:t>E. 4.2</w:t>
      </w:r>
    </w:p>
    <w:p>
      <w:r>
        <w:t>Gemäss Ziff. 9.02 HVI-Anhang besteht ein Anspruch auf Elektrorollstühle nur "für Versicherte, die einen gewöhnlichen Rollstuhl nicht bedienen und sich nur dank elektromotorischem Antrieb selbstständig fortbewegen können" (frz.: "pour les assurés qui ne peuvent utiliser un fauteuil roulant usuel et ne peuvent se déplacer seuls qu'au moyen d'un fauteuil roulant mû électriquement"; ital.: "per gli assicurati che non possono utilizzare una carrozzella usuale e sono in grado di spostarsi soltanto mediante l'impiego di una carrozzella azionata elettricamente").</w:t>
      </w:r>
    </w:p>
    <w:p>
      <w:r>
        <w:rPr>
          <w:b/>
        </w:rPr>
        <w:t>E. 4.3</w:t>
      </w:r>
    </w:p>
    <w:p>
      <w:r>
        <w:t>Verordnungsrecht ist gesetzeskonform auszulegen. Es sind die gesetzgeberischen Anordnungen, Wertungen und der in der Delegationsnorm eröffnete Gestaltungsspielraum mit seinen Grenzen zu berücksichtigen ( BGE 131 V 263 E. 5.1 S. 266).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BGE 140 V 538 S. 541 verfassungsbezogene Interpretation; BGE 137 V 373 E. 5.2 S. 376; BGE 135 I 161 E. 2.3 S. 163).</w:t>
      </w:r>
    </w:p>
    <w:p>
      <w:r>
        <w:rPr>
          <w:b/>
        </w:rPr>
        <w:t>E. 4.4</w:t>
      </w:r>
    </w:p>
    <w:p>
      <w:r>
        <w:t>Weichen die verschiedenen Sprachversionen einer Gesetzes- oder Verordnungsbestimmung voneinander ab, so ist jener Fassung der Vorzug zu geben, welche den gesetzgeberischen Willen am besten zum Ausdruck bringt (vgl. etwa SVR 2011 BVG Nr. 30 S. 114, 9C_793/2010 E. 4 sowie das Urteil des Eidg. Versicherungsgerichts I 618/04 vom 20. September 2006 E. 4.3).</w:t>
      </w:r>
    </w:p>
    <w:p>
      <w:r>
        <w:rPr>
          <w:b/>
        </w:rPr>
        <w:t>E. 4.5</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138 III 359 E. 6.1 S. 361; BGE 137 V 282 E. 4.2 S. 291; BGE 134 V 72 E. 3.3 S. 76).</w:t>
      </w:r>
    </w:p>
    <w:p>
      <w:r>
        <w:rPr>
          <w:b/>
        </w:rPr>
        <w:t>E. 5.1</w:t>
      </w:r>
    </w:p>
    <w:p>
      <w:r>
        <w:t>Die deutschsprachige Version von Ziff. 9.02 HVI-Anhang beschränkt den Anspruch auf einen Elektrorollstuhl auf jene versicherten Personen, welche sich nur dank elektromotorischem Antrieb selbstständig fortbewegen können. Es stellt sich daher die Frage, welche Bedeutung hiebei dem Wort "selbstständig" zukommt.</w:t>
      </w:r>
    </w:p>
    <w:p>
      <w:r>
        <w:rPr>
          <w:b/>
        </w:rPr>
        <w:t>E. 5.2</w:t>
      </w:r>
    </w:p>
    <w:p>
      <w:r>
        <w:t>Unproblematisch erscheint diese Formulierung insoweit, als damit alle jene versicherten Personen von einem Anspruch auf einen Elektrorollstuhl ausgeschlossen werden, welche sich bereits mittels eines Handrollstuhls selbstständig fortbewegen können. Selbst wenn auch für diese Personen im Einzelfall ein Elektrorollstuhl nützlich wäre, so lässt sich die Beschränkung mit Blick auf den Grundsatz, wonach die Hilfsmittel zu Lasten der Invalidenversicherung einfach, zweckmässig und wirtschaftlich sein müssen (vgl. Art. 4 Abs. 2 HVI ) ohne weiteres rechtfertigen. Insoweit stellt die deutschsprachige Version mit Verwendung des Begriffes "selbstständig" lediglich eine Verdeutlichung dessen dar, was auch in der französisch- und italienischsprachigen Fassung mitgemeint ist.</w:t>
      </w:r>
    </w:p>
    <w:p>
      <w:r>
        <w:rPr>
          <w:b/>
        </w:rPr>
        <w:t>E. 5.3</w:t>
      </w:r>
    </w:p>
    <w:p>
      <w:r>
        <w:t>Rechtsprechungsgemäss schliesst Ziff. 9.02 HVI-Anhang einen Anspruch auf einen Elektrorollstuhl auch für jene schwerstbehinderten versicherten Personen aus, welche trotz der Abgabe eines solchen Gerätes weiter nicht in der Lage sind, sich selbstständig BGE 140 V 538 S. 542 fortzubewegen (vgl. SVR 2011 IV Nr. 62 S. 186, 9C_940/2010 E. 4.1 mit Hinweis auf BGE 135 I 161 E. 4.1 S. 164; BGE 121 V 258 E. 3b/bb S. 261 und ZAK 1988 S. 180, I 181/87 E. 2a). Die Vereinigten Abteilungen des Bundesgerichts (I. und II. sozialrechtliche Abteilung) lehnten es mit Beschluss vom 13. Oktober 2014 im Verfahren nach Art. 23 Abs. 1 BGG ab, auf diese Rechtsprechung zurückzukommen. Dieser Beschluss ist gemäss Art. 23 Abs. 3 BGG für die Antrag stellende Abteilung bei der Beurteilung des Streitfalles verbindlich.</w:t>
      </w:r>
    </w:p>
    <w:p>
      <w:r>
        <w:rPr>
          <w:b/>
        </w:rPr>
        <w:t>E. 6</w:t>
      </w:r>
    </w:p>
    <w:p>
      <w:r>
        <w:t>Das kantonale Gericht hat erwogen, ein Handrollstuhl werde durch die Abgabe einer elektrischen Schiebe- und Bremshilfe nicht zu einem Elektrorollstuhl. Vielmehr sei eine solche notwendig, damit der Handrollstuhl bedient werden könne. Die Schiebe- und Bremshilfe sei daher als Zubehör zum Handrollstuhl anzusehen, weshalb gestützt auf Ziff. 9.01 HVI-Anhang in Verbindung mit Art. 2 Abs. 3 HVI ein Anspruch bestehen könne, auch wenn die Versicherte das beantragte Gerät nicht selbstständig bedienen könne. Dieser Ansicht kann nicht gefolgt werden: Die Motorisierung eines Rollstuhls "ohne motorischen Antrieb" führt offensichtlich dazu, dass dieser nicht länger als "ohne motorischen Antrieb" betrachtet werden kann. Folgerichtig ging die Rechtsprechung stets davon aus, dass für die Abgabe eines Zuggerätes die Voraussetzungen für eine Abgabe eines Elektrorollstuhles (Ziff. 9.02 HVI-Anhang) erfüllt sein müssen (vgl. SVR 2011 IV Nr. 62 S. 186, 9C_940/2010 E. 3; Urteil des Eidg. Versicherungsgerichts I 712/04 vom 13. Oktober 2005 E. 3; ZAK 1988 S. 180, I 181/87 E. 2b). Auch das von der Versicherten beantragte Gerät kann daher nicht als blosses Zubehör im Sinne von Art. 2 Abs. 3 HVI zu einem Rollstuhl ohne motorischen Antrieb betrachtet werden. Da die Beschwerdegegnerin unbestrittenermassen auch mit dem beantragten Gerät nicht in der Lage wäre, sich selbstständig fortzubewegen und somit die Voraussetzungen für die Abgabe eines Elektrorollstuhles nicht erfüllt (vgl. E. 5 hievor), hat die IV-Stelle das Leistungsgesuch zu Recht abgewiesen. Ihre Beschwerde ist demnach gutzuheissen, der vorinstanzliche Entscheid aufzuheben und die leistungsablehnende Verfügung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