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326</w:t>
      </w:r>
    </w:p>
    <w:p>
      <w:r>
        <w:t>Bundesgericht (BGE), 2014-06-26, DE</w:t>
      </w:r>
    </w:p>
    <w:p>
      <w:r>
        <w:rPr>
          <w:b/>
        </w:rPr>
        <w:t xml:space="preserve">Quelle: </w:t>
      </w:r>
      <w:r>
        <w:t>https://mcp.opencaselaw.ch/entscheid/bge_BGE_140_I_326</w:t>
      </w:r>
    </w:p>
    <w:p>
      <w:r>
        <w:t>FR: ATF 140 I 326</w:t>
      </w:r>
    </w:p>
    <w:p>
      <w:r>
        <w:t>IT: DTF 140 I 326</w:t>
      </w:r>
    </w:p>
    <w:p>
      <w:pPr>
        <w:pStyle w:val="Heading2"/>
      </w:pPr>
      <w:r>
        <w:t>Regeste</w:t>
      </w:r>
    </w:p>
    <w:p>
      <w:r>
        <w:t>Regeste Art. 29 Abs. 1 BV; Befangenheit von Gemeinderatsmitgliedern, die in einem Preisgericht mitgewirkt haben, im Einspracheverfahren über das gleiche Bauvorhaben. Garantie der Unbefangenheit bei gerichtlichen und nichtgerichtlichen Behörden (E. 5). Sinngemässe Anwendung derselben Kriterien bei Verwaltungsbehörden, wie sie für die Zulässigkeit der Vorbefassung in Gerichtsverfahren gelten (E. 6.2). Unterscheidung zwischen der unverbindlichen Stellungnahme zu abstrakten Fragen, der Beantwortung konkreter Fragen, der eigentlichen Beratung der Bauherrschaft und dem verbindlichen Vorentscheid (E. 6.3). Befangenheit von zwei Gemeinderatsmitgliedern bejaht, die als Juroren an einem von einer Grundeigentümerin organisierten Wettbewerb mitwirkten und später über den darauf basierenden Gestaltungsplan zu entscheiden haben. Ausschlaggebend ist, dass beim Wettbewerb das Bauprojekt im Wesentlichen anhand derselben Kriterien zu prüfen war wie im Einspracheverfahren gegen den Gestaltungsplan (E. 7).</w:t>
      </w:r>
    </w:p>
    <w:p>
      <w:r>
        <w:t>Regeste Art. 29 al. 1 Cst.; prévention de membres de l'exécutif communal, qui ont participé à un jury, dans la procédure d'opposition concernant le même projet de construction. Garantie d'impartialité des autorités judiciaires et non judiciaires (consid. 5). Application par analogie aux autorités administratives des mêmes critères que ceux valant dans la procédure judiciaire pour juger de l'admissibilité de la participation d'un juge à plusieurs stades d'une affaire (consid. 6.2). Distinction entre la prise de position non contraignante sur des questions abstraites, la réponse à des questions concrètes, l'activité de conseil au maître de l'ouvrage lors de l'élaboration du projet et la décision préalable contraignante (consid. 6.3). Prévention admise de deux membres de l'exécutif communal, qui ont pris part comme jurés à un concours organisé par une propriétaire et qui ont statué ultérieurement sur le plan d'aménagement détaillé fondé sur ce concours. Est déterminant le fait que le projet de construction devait être examiné dans le concours pour l'essentiel selon les mêmes critères que dans la procédure d'opposition au plan d'aménagement détaillé (consid. 7).</w:t>
      </w:r>
    </w:p>
    <w:p>
      <w:r>
        <w:t>Regesto Art. 29 cpv. 1 Cost.; prevenzione di membri dell'esecutivo comunale, che hanno partecipato alla giuria di un concorso, nella procedura di opposizione concernente lo stesso progetto di costruzione. Garanzia di imparzialità delle autorità giudiziarie e non giudiziarie (consid. 5). Applicazione per analogia alle autorità amministrative degli stessi criteri validi nella procedura giudiziaria per giudicare sull'ammissibilità della partecipazione di un giudice a più fasi di un procedimento (consid. 6.2). Distinzione tra le osservazioni non vincolanti su questioni astratte, la risposta a quesiti concreti, l'effettiva consulenza al committente e la decisione pregiudiziale vincolante (consid. 6.3). È stata ammessa la prevenzione di due membri dell'esecutivo comunale che hanno partecipato come giurati a un concorso organizzato da una proprietaria e che hanno in seguito deciso sul relativo piano particolareggiato. È determinante il fatto che, nel concorso, il progetto di costruzione doveva essere esaminato essenzialmente sulla base degli stessi criteri della procedura di opposizione contro il piano particolareggiato (consid. 7).</w:t>
      </w:r>
    </w:p>
    <w:p>
      <w:pPr>
        <w:pStyle w:val="Heading2"/>
      </w:pPr>
      <w:r>
        <w:t>Erwägungen</w:t>
      </w:r>
    </w:p>
    <w:p>
      <w:r>
        <w:rPr>
          <w:b/>
        </w:rPr>
        <w:t>E. 5.1</w:t>
      </w:r>
    </w:p>
    <w:p>
      <w:r>
        <w:t>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Mit anderen Worten muss gewährleistet sein, dass der Prozess aus Sicht aller Beteiligten als offen erscheint ( BGE 133 I 1 E. 6.2 S. 6 mit Hinweisen). Eine gewisse Besorgnis der Voreingenommenheit und damit Misstrauen in das Gericht kann bei den Parteien immer dann entstehen, BGE 140 I 326 S. 329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131 I 113 E. 3.4 S. 116 mit Hinweisen).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(vgl. BGE 114 Ia 50 E. 3d S. 59; zudem BGE 137 I 227 E. 2.6.2 S. 232 f.; BGE 134 I 238 E. 2.3 und 2.4 S. 241 ff.; BGE 114 Ia 153 E. 3b/cc S. 161 f.).</w:t>
      </w:r>
    </w:p>
    <w:p>
      <w:r>
        <w:rPr>
          <w:b/>
        </w:rPr>
        <w:t>E. 5.2</w:t>
      </w:r>
    </w:p>
    <w:p>
      <w:r>
        <w:t>Für nichtgerichtliche Behörden - wie hier für Mitglieder des Gemeinderates - kommen Art. 30 Abs. 1 BV und Art. 6 Ziff. 1 EMRK nicht zur Anwendung. Hingegen gewährleistet Art. 29 Abs. 1 BV den Anspruch auf gleiche und gerechte Behandlung; das Gebot der Unbefangenheit bildet einen Teilgehalt dieses Grundrechts (vgl. BENJAMIN SCHINDLER, Die Befangenheit der Verwaltung, 2002, S. 237). Im Kern der Garantie der Unbefangenheit steht für Richter wie Verwaltungsbeamte, dass sie sich in Bezug auf die Beurteilung des Sachverhalts nicht bereits festgelegt haben (vgl. MARKUS SCHEFER, Die Kerngehalte von Grundrechten, 2001, S. 535). Die für Gerichte geltenden Anforderungen an die Unbefangenheit (E. 5.1 oben)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politischer Aufgaben einhergeht (Urteil 1C_278/2010 vom 31. Januar 2011 E. 2.2). Regierungsbehörden sind aufgrund ihres Amtes, anders als ein Gericht, nicht allein zur (neutralen) Rechtsanwendung oder Streitentscheidung berufen. Sie BGE 140 I 326 S. 330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(vgl. BGE 125 I 119 E. 3f S. 125; Urteile 1C_150/2009 vom 8. September 2009 E. 3.5, in: ZBl 112/2011 S. 478 ff.; 1P.48/2007 vom 11. Juni 2007 E. 4.3). Dabei ist vorab je nach Verfahrensart, Funktion oder Streitgegenstand des betreffenden Verfahrens zu unterscheiden (vgl. BGE 137 II 431 E. 5.2 S. 452; BGE 125 I 119 E. 3d und 3f S. 123 ff., BGE 125 I 209 E. 8a S. 217 f.; MÜLLER/SCHEFER, Grundrechte in der Schweiz, 4. Aufl. 2008, S. 949; GEROLD STEINMANN, Die schweizerische Bundesverfassung, Kommentar, 2. Aufl. 2008, Rz. 18 zu Art. 29 BV ).</w:t>
      </w:r>
    </w:p>
    <w:p>
      <w:r>
        <w:rPr>
          <w:b/>
        </w:rPr>
        <w:t>E. 6</w:t>
      </w:r>
    </w:p>
    <w:p>
      <w:r>
        <w:t>Treten der Gemeindepräsident Noldi Küttel und der Gemeinderat Alex Waldis nicht in den Ausstand, so befassen sie sich etwa mit Fragen der siedlungsgerechten und landschaftsverträglichen Einordnung der geplanten Überbauung zweimal; zunächst bei der Beurteilung der Volumenstudien, dann beim Entscheid über die Einsprachen und die Plangenehmigung (§ 77 Abs. 2 des Planungs- und Baugesetzes des Kantons Luzern vom 7. März 1989 [SRL 735; PBG]). Im Lichte der vorstehenden Grundsätze bleibt somit zu prüfen, ob die Gemeinderatsmitglieder als Preisrichter in einer Weise vorbefasst sind, dass sie im Hinblick auf den Planungsentscheid voreingenommen erscheinen.</w:t>
      </w:r>
    </w:p>
    <w:p>
      <w:r>
        <w:rPr>
          <w:b/>
        </w:rPr>
        <w:t>E. 6.1</w:t>
      </w:r>
    </w:p>
    <w:p>
      <w:r>
        <w:t>Die Sach- und Rechtslagen sind gerade bei Bau- und Planungssachen oft komplex; die Folgen von Fehlplanungen können schwer wiegen. Das gilt insbesondere für Grossprojekte. Unter diesen Umständen kann es der Prozessökonomie dienen, wenn die Verwaltung und die private Bauherrschaft durch vorprozessuale Abklärungen oder Verhandlungen die Voraussetzungen für einen effizienten und sachgerechten Entscheid schaffen. Zudem liegt es im Interesse der Verfahrenskoordination, wenn sich die zuständigen Behörden als Träger der Planungshoheit möglichst frühzeitig in den Planungsprozess einbringen (vgl. PETER HÖSLI, Möglichkeiten und Grenzen der Verfahrensbeschleunigung durch informell-kooperatives Verwaltungshandeln, 2002, S. 123 f.; SCHINDLER, a.a.O., S. 83 und 136; KÖLZ/HÄNER/BERTSCHI, Verwaltungsverfahren und BGE 140 I 326 S. 331 Verwaltungsrechtspflege des Bundes, 3. Aufl. 2013, Rz. 433; vgl. auch BGE 120 Ia 270 E. 6c S. 284; Urteile 1C_150/2009 vom 8. September 2009 E. 3.5.2, in: ZBl 112/2011 S. 478 ff.; 1A.11/2007 vom 16. Mai 2007 E. 3.5.2). In der Gemeinde Vitznau trägt, in Zusammenarbeit mit den Grundeigentümern, der Gemeinderat die Verantwortung für die Gestaltungsplanung (vgl. § 17 Abs. 1 lit. c und § § 74-77 PBG i.V.m. Art. 37 des Bau- und Zonenreglements der Gemeinde Vitznau vom 6. Januar 1998 [nachfolgend: BZR]). Hier geht es sodann um ein Grossprojekt, bei dem sich komplexe Sachverhalts- und Rechtsfragen stellen. Gründe der Prozessökonomie und der Verfahrenskoordination können es in dieser Situation rechtfertigen, wenn sich der Gemeinderat als Träger der Planungshoheit bereits vor Einleitung des Gestaltungsplanverfahrens mit dem Projekt befasst. Liegt eine Mehrfachbefassung dementsprechend im öffentlichen Interesse, kann nicht jede vorprozessuale Äusserung der Gemeinderatsmitglieder von vornherein einen Ausstandsgrund darstellen. Anders zu entscheiden hiesse, das tatsächliche Verwaltungshandeln als Mittel für eine effiziente und sachgerechte Entscheidfindung bereits im Ansatz zu unterbinden und so die Aufgabenerfüllung der Verwaltung in unverhältnismässiger Weise zu erschweren.</w:t>
      </w:r>
    </w:p>
    <w:p>
      <w:r>
        <w:rPr>
          <w:b/>
        </w:rPr>
        <w:t>E. 6.2</w:t>
      </w:r>
    </w:p>
    <w:p>
      <w:r>
        <w:t>Jede Äusserung einer Amtsperson im Vorfeld eines förmlichen Verfahrens hat indessen den Anspruch auf gleiche und gerechte Behandlung ( Art. 29 Abs. 1 BV ) zu wahren. So muss der Verwaltungsentscheid nach wie vor in einem Prozess erfolgen, der eine ungestörte und ausgewogene Abwägung der auf dem Spiel stehenden Interessen ermöglicht (vgl. SCHINDLER, a.a.O., S. 46). Beim vorliegenden, informell-kooperativen Verwaltungshandeln (vgl. BGE 133 II 120 E. 3 S. 124 ff.) ist die Gefahr besonders gross, dass die Interessen unbeteiligter Dritter oder der Allgemeinheit nicht angemessen berücksichtigt werden. Hat sich ein Privater mit der Verwaltung vor Einleitung des förmlichen Verfahrens über die wesentlichen Inhalte eines Vorhabens informell abgesprochen, wird sich die Behörde beim anschliessenden Entscheid - wenn auch nicht rechtlich, so doch faktisch - in der Regel an die Absprache gebunden fühlen (in Abgrenzung zum verbindlichen Vorentscheid vgl. HÖSLI, a.a.O., S. 64 f.; dazu BGE 120 Ib 48 E. 2b S. 52; Urteil 1P.224/1991 vom 9. September 1992 E. 2c, in: ZBl 95/1994 S. 66 ff.). In dieser Situation haben die unbeteiligten Dritten, so hier die Einsprecher, berechtigten Anlass zu befürchten, dass die vorbefasste Behörde nicht BGE 140 I 326 S. 332 mehr imstande ist, die Einwände gegenüber dem Vorhaben mit hinreichender Offenheit und Unabhängigkeit zu prüfen (vgl. HÖSLI, a.a.O., S. 77 f.; TAMARA NÜSSLE, Demokratie in der Nutzungsplanung und Grenzen für informale Absprachen, 2005, S. 241 f. und 246 ff.). Amtspersonen haben sich bei informellen Äusserungen im Vorfeld eines Verfahrens somit eine besondere Zurückhaltung aufzuerlegen; die Stellungnahme darf in keiner Weise den Anschein erwecken, dass sich die vorbefasste Person in Bezug auf das anstehende Verfahren bereits festgelegt hat (vgl. Urteil 1C_150/2009 vom 8. September 2009 E. 3.5.2, in: ZBl 112/2011 S. 478 ff.; SCHINDLER, a.a.O., S. 136 f.; KÖLZ/HÄNER/BERTSCHI, a.a.O., Rz. 433). Auch mit Blick auf die Funktion des anstehenden Verfahrens rechtfertigt es sich, an die Unbefangenheit der beiden Gemeinderatsmitglieder hohe Anforderungen zu stellen. Als Einsprachebehörde gegen den durch Private aufgestellten Gestaltungsplan trifft den Gemeinderat die Aufgabe eines "echten Mittlers" (vgl. MÜLLER/SCHEFER, a.a.O., S. 949; SCHINDLER, a.a.O., S. 68 und 155; Urteil 2P.231/1997 vom 19. Mai 1998 E. 2b, in: ZBl 100/1999 S. 74). Das Einspracheverfahren vor Erlass der Verfügung gewährt den Betroffenen das rechtliche Gehör und stellt damit sicher, dass die verschiedenen auf dem Spiel stehenden Interessen noch vor Planerlass berücksichtigt werden. Die Einsprachen erleichtern zudem die Beurteilung, ob das Vorhaben auch aus Sicht der öffentlichen Interessen - etwa im Lichte der raumplanungsrechtlichen Grundsätze ( Art. 75 BV sowie Art. 1 und 3 RPG [SR 700]) - zweckmässig erscheint (vgl. AEMISEGGER/HAAG, Kommentar zum RPG, 2010, Rz. 16, 25 und 36 zu Art. 33 RPG ; MISCHA BERNER, Luzerner Planungs- und Baurecht, 2012, Rz. 215 und 220). Angesichts dieser herausragenden Bedeutung der Einsprache zur Gewährleistung des Gehörsanspruchs Dritter darf informelles Verwaltungshandeln im Vorfeld der öffentlichen Planauflage den Einspracheentscheid in keiner Weise vorwegnehmen. Andernfalls verlöre das bundesrechtlich vorgeschriebene Auflageverfahren ( Art. 33 Abs. 1 RPG ) seine Bedeutung als Mittel für eine sachgerechte Entscheidfindung im Bau- und Planungsrecht (vgl. BGE 111 Ia 67 E. 3c S. 69; NÜSSLE, a.a.O., S. 241 f.). In gesamthafter Würdigung der dargelegten Umstände rechtfertigt es sich vorliegend, die Zulässigkeit der Vorbefassung der Gemeinderatsmitglieder sinngemäss nach denselben Kriterien zu beurteilen, wie sie das Bundesgericht für die Gerichtsverfahren entwickelt hat. BGE 140 I 326 S. 333</w:t>
      </w:r>
    </w:p>
    <w:p>
      <w:r>
        <w:rPr>
          <w:b/>
        </w:rPr>
        <w:t>E. 6.3</w:t>
      </w:r>
    </w:p>
    <w:p>
      <w:r>
        <w:t>Demnach fällt insbesondere ins Gewicht, mit welcher Bestimmtheit sich der Richter bei seiner ersten Befassung zu den betreffenden Fragen ausgesprochen hat (vgl. E. 5.1 oben). Das Bundesgericht hat dieses Beurteilungskriterium zuletzt im Zusammenhang mit dem sogenannten Referentensystem fortentwickelt. Dieses zeichnet sich dadurch aus, dass sich ein Richter als Referent über die prozessualen und materiellen Fragen einer Streitsache eine erste Meinung bildet und zusammen mit einem Antrag dem Spruchkörper vorträgt. Das Referentensystem hält nach Auffassung des Bundesgerichts dann vor der Verfassung stand, wenn der Ausgang des Verfahrens für die Betroffenen erkennbar nach wie vor offen erscheint. So ist etwa zulässig, wenn der Referent den Rechtsuchenden im Fall einer Anschlussberufung darauf aufmerksam macht, dass der Rechtsmittelentscheid auch zu seinen Ungunsten ausfallen kann. Dem Anschein der Voreingenommenheit kann sich der Referent hingegen dann aussetzen, wenn er auf die rechtsuchende Person zugeht, um ihr seine Einschätzung der Prozessaussichten kundzutun und sie entsprechend zum Rückzug des Rechtsmittels zu bewegen. Bei abstrakter Betrachtung besteht der entscheidende Unterschied zwischen zulässiger und unzulässiger Vorbefassung darin, ob die vorbefasste Person erst ihre vorläufige Einschätzung zur Streitsache zum Ausdruck bringt - oder aber der Eindruck entsteht, sie habe sich über den Ausgang des Verfahrens bereits eine feste Meinung gebildet (vgl. BGE 137 I 227 E. 2.6.2-2.6.4 S. 232 ff.; BGE 134 I 238 E. 2.4-2.6 S. 242 ff.; zudem BGE 114 Ia 153 E. 3b/cc S. 161 f.; REGINA KIENER, Richterliche Unabhängigkeit, 2001, S. 147). Ausgehend von diesen für Gerichtsverfahren entwickelten Grundsätzen ist für Bau- und Planungssachen zu unterscheiden zwischen der unverbindlichen Stellungnahme zu abstrakten Fragen, der Beantwortung konkreter Fragen, der eigentlichen Beratung der Bauherrschaft und dem verbindlichen Vorentscheid. Bei der unverbindlichen Stellungnahme zu abstrakten Rechtsfragen besteht in der Regel keine Gefahr der späteren Befangenheit (vgl. Urteil 1C_150/2009 vom 8. September 2009 E. 3.5.4, in: ZBl 112/2011 S. 478 ff.). In diesem Sinne verneinte das Bundesgericht im Urteil 1C_100/2012 vom 16. Oktober 2012 bei einer generellen Auskunft des Gemeinderates über die grundsätzliche Bewilligungsfähigkeit eines Bauvorhabens eine unzulässige Vorbefassung im Hinblick auf den anschliessenden Baubewilligungsentscheid (a.a.O. E. 2.2). BGE 140 I 326 S. 334 Dagegen kann bei einer umfangreichen und detaillierten Beantwortung konkreter, projektbezogener Fragen die Gefahr einer Vorbestimmung des anschliessenden Verfahrens bestehen. Dementsprechend bejahte das Bundesgericht im Urteil 1C_150/2009 vom 8. September 2009 (in: ZBl 112/2011 S. 478 ff.) die Befangenheit der Baukommission, die im Hinblick auf das anstehende Baubewilligungsverfahren zu einem Bauvorhaben konkret Stellung nahm. Für das Bundesgericht fiel unter anderem ins Gewicht, dass sich die Baukommission in ihrer Stellungnahme umfassend und detailliert zu zentralen Punkten des Baubewilligungsverfahrens geäussert hatte. Das Projekt war zudem aufgrund von Anregungen der Baukommission im Hinblick auf die Baubewilligung leicht abgeändert worden; insofern hatte die Kommission praktisch als Beraterin fungiert. Unter diesen Umständen konnte für die Einsprecher der Eindruck entstehen, die Baukommission habe sich zum Vorhaben bereits eine feste Meinung gebildet und werde sich im Baubewilligungsverfahren - ungeachtet der Einsprachen - nicht mehr umstimmen lassen (a.a.O., E. 3.5.5). Die Begleitung durch die Behörden darf mithin nicht so weit gehen, die Bauherrschaft bei ihrer Ausarbeitung des Gestaltungsplans oder Baugesuchs in detaillierter Weise zu beraten oder ihr vor Berücksichtigung allfälliger Drittinteressen darüber hinaus die verbindliche Zusage zu machen, das Vorhaben in einer bestimmten Form bewilligen zu können (vgl. SCHINDLER, a.a.O., S. 131 f. und 137; für den verbindlichen Vorentscheid auch Urteil 1P.224/1991 vom 9. September 1992 E. 2c, in: ZBl 95/1994 S. 66 ff). Eine eigentliche Beratertätigkeit bildet auch nach § 14 Abs. 1 lit. e VRG (SRL 40) - wie in anderen kantonalen Verfahrensordnungen - einen gesetzlich geregelten Ausstandsgrund.</w:t>
      </w:r>
    </w:p>
    <w:p>
      <w:r>
        <w:rPr>
          <w:b/>
        </w:rPr>
        <w:t>E. 7</w:t>
      </w:r>
    </w:p>
    <w:p>
      <w:r>
        <w:t>Die G. AG lud acht Architekturbüros zur Erarbeitung einer Volumenstudie ein. Das Preisgericht, in welchem die beiden Gemeinderatsmitglieder Einsitz nahmen, hatte die Aufgabe, jenes Projekt auszuwählen, das die Nutzungsmasse und das Raumprogramm der geplanten Überbauung nach Massgabe der Wettbewerbsvorgaben am besten umsetzt und damit als Grundlage für den Gestaltungsplan dient. Ausgehend von diesem Sachverhalt sind für die Frage der Befangenheit der Gemeinderatsmitglieder im Lichte der dargelegten Kriterien die folgenden Umstände zu berücksichtigen:</w:t>
      </w:r>
    </w:p>
    <w:p>
      <w:r>
        <w:rPr>
          <w:b/>
        </w:rPr>
        <w:t>E. 7.1</w:t>
      </w:r>
    </w:p>
    <w:p>
      <w:r>
        <w:t>Die Preisrichter haben die ihnen vorgelegten Überbauungskonzepte im Wesentlichen nach siedlungsplanerischen, landschaftlichen BGE 140 I 326 S. 335 und erschliessungsmässigen Gesichtspunkten beurteilt. Dabei handelt es sich um zentrale Kriterien, nach denen die Rechtmässigkeit eines Gestaltungsplans zu überprüfen ist (vgl. § 65 Abs. 2 und § 75 Abs. 3 lit. b PBG ). Darauf beziehen sich die Beschwerdeführer in ihren gegen den Plan erhobenen Einsprachen denn auch. Die bei der Beurteilung der Volumenstudie behandelten Gesichtspunkte entsprechen somit - entgegen der Auffassung der Vorinstanz - zu einem erheblichen Teil jenen Fragen, die Gegenstand des Einsprache- und Genehmigungsentscheids sind.</w:t>
      </w:r>
    </w:p>
    <w:p>
      <w:r>
        <w:rPr>
          <w:b/>
        </w:rPr>
        <w:t>E. 7.2</w:t>
      </w:r>
    </w:p>
    <w:p>
      <w:r>
        <w:t>Mit ihrer Stimme im Preisgericht haben die Gemeinderatsmitglieder bei der Auswahl des siegreichen Projekts als Entscheidungsträger mitgewirkt. Die Juroren haben sich einstimmig für das Projekt des Architekturbüros I. entschieden. Nach Auffassung des Preisgerichts erfüllt die ausgewählte Volumenstudie vor allem auch die von der Gemeinde gestellten Bedingungen. Damit sind die Vertreter der Gemeinde für die privaten Beschwerdegegnerinnen tätig geworden und haben sich aktiv am Auswahlprozess beteiligt. Die im Massstab 1:500 ausgefertigten Pläne zusammen mit dem Modell und dem Erläuterungsbericht haben den Inhalt des Gestaltungsplans vergleichsweise konkret und detailliert vorgezeichnet. So war die Volumenstudie bezüglich Volumetrie, Architektur und Materialisierung der Gebäude für diesen wegweisend (vgl. § 1 Abs. 1 und § 12 Abs. 1 des Gestaltungsplans). Der aufgelegte Plan weist im Vergleich zur Studie keine namhaften Änderungen oder Präzisierungen auf. Beim Vergleich des Planmaterials ist zwar erkennbar, dass das Campus Hotel leicht in südöstliche Richtung verschoben wurde. Diese wie andere Anpassungen sind aber - entgegen der Ansicht der Vorinstanz - von untergeordneter Bedeutung. Sie vermögen am Gesamteindruck nichts zu ändern, dass die Volumenstudie den Gestaltungsplan in den wesentlichen Zügen vorbestimmt hat. Soweit die Juroren gegenüber dem erkorenen Projekt einzelne Vorbehalte anbrachten, haben sie diese mit konkreten Änderungsvorschlägen verbunden; die Empfehlungen betreffen etwa Einzelheiten zur Architektur der Villen und zum Erschliessungskonzept. Die Bauherrschaft hat die Vorschläge im Gestaltungsplan weitgehend nachvollzogen. Insoweit haben die Preisrichter, wie die Beschwerdeführer zu Recht festhalten, als eigentliche Berater fungiert. Würdigt man diese Umstände gesamthaft, ist die Besorgnis darüber begründet, die Gemeinderatsvertreter könnten sich aufgrund ihrer BGE 140 I 326 S. 336 Preisrichtertätigkeit in einem Mass festgelegt haben, dass ihre Haltung im Rahmen des Gestaltungsplanverfahrens vorbestimmt erscheint.</w:t>
      </w:r>
    </w:p>
    <w:p>
      <w:r>
        <w:rPr>
          <w:b/>
        </w:rPr>
        <w:t>E. 7.3</w:t>
      </w:r>
    </w:p>
    <w:p>
      <w:r>
        <w:t>Der Anschein der Befangenheit verstärkt sich durch den Beurteilungsspielraum der Entscheidungsbehörde zusätzlich (vgl. E. 5.1 oben). Je grösser der Spielraum ist, umso eher besteht Anlass zur Besorgnis, die Amtsperson werde auf ihr in Abwägung verschiedener Gesichtspunkte getroffenes Urteil bei späterer Befassung nicht mehr zurückkommen (vgl. BGE 114 Ia 50 E. 5b/cc S. 70; KIENER, a.a.O., S. 148). Steht der zuständigen Verwaltungsbehörde bei der zu beantwortenden Frage ein Ermessen zu, ist die gerichtliche Überprüfung zudem eingeschränkt. Insoweit sind systembedingte Unzulänglichkeiten des verwaltungsinternen Verfahrens nicht mehr durch eine unabhängige richterliche Kontrolle auszugleichen (vgl. E. 5.2 oben; HÖSLI, a.a.O., S. 78; SCHINDLER, a.a.O., S. 170). Bei Fragen der siedlungsplanerischen und landschaftlichen Einordnung steht der Gemeinde - trotz grundsätzlich voller Überprüfung durch die Beschwerdebehörde ( Art. 33 Abs. 3 lit. b RPG ) - ein gewisses Planungsermessen zu (vgl. Art. 2 Abs. 3 RPG ; BGE 114 Ia 245 E. 2b S. 247 f.; vgl. auch BGE 127 II 238 E. 3b S. 244 ff.; AEMISEGGER/HAAG, a.a.O., Rz. 73 zu Art. 33 RPG ; § 65 Abs. 2 PBG ; BERNER, a.a.O., Rz. 633 ff.). Das kommunale Recht überträgt diesen Entscheidungsspielraum dem Gemeinderat. So entscheidet in Vitznau der Gemeinderat, nicht etwa die Gemeindelegislative, über Gestaltungspläne (vgl. Art. 37 BZR). Zudem liegt es gemäss Art. 22 Abs. 4 BZR im pflichtgemässen Ermessen des Gemeinderates, in der Kur- und Sportzone, worin das Campus Hotel geplant ist, die zulässigen Nutzungsmasse unter Beachtung der siedlungsplanerischen und landschaftlichen Interessen fallweise festzulegen. Umso problematischer erscheint es, wenn sich zwei ihrer Vertreter zu den erwähnten Punkten bereits eine Meinung gebildet haben, ohne die Auffassung der Planbetroffenen zu kennen. Die vorliegende Sachlage ist, wie die Beschwerdeführer zu Recht vorbringen, auch insoweit mit dem Fall 1C_150/2009 vom 8. September 2009 (in: ZBl 112/2011 S. 478 ff.) vergleichbar. Dort erkannte das Bundesgericht auf eine unzulässige Vorbefassung (vgl. a.a.O. E. 3.5.5 und 3.6). Auch hier besteht bei objektiver Betrachtung der Anschein, die Gemeinderatsmitglieder könnten sich von ihrem Urteil als Preisrichter zu wesentlichen Punkten des BGE 140 I 326 S. 337 Gestaltungsplans kaum mehr lösen und die gegen das Vorhaben erhobenen Einsprachen nicht unbefangen beurteilen. Wenn die Vorinstanz die Ablehnung des Ausstandsbegehrens bestätigt, verletzt sie demnach Art. 29 Abs. 1 BV .</w:t>
      </w:r>
    </w:p>
    <w:p>
      <w:r>
        <w:rPr>
          <w:b/>
        </w:rPr>
        <w:t>E. 7.4</w:t>
      </w:r>
    </w:p>
    <w:p>
      <w:r>
        <w:t>Bei diesem Ergebnis bleibt im Lichte der Erwägungen (vgl. E. 6.1 oben) anzufügen, dass nicht jede behördliche Beteiligung an einem Architekturwettbewerb von vornherein im Widerspruch zu Art. 29 Abs. 1 BV steht. Im Urteil 1A.11/2007 vom 16. Mai 2007 (E. 3.5) verneinte das Bundesgericht denn auch eine verfassungswidrige Vorbefassung eines Vertreters der kantonalen Denkmalpflege und des kommunalen Bauberaters aufgrund ihrer Preisrichtertätigkeit im Hinblick auf den anstehenden Baubewilligungsentscheid. In jenem Verfahren waren die Behördenmitglieder jedoch Gutachter und nicht, wie hier, Entscheidungsträger (a.a.O. E. 3.5.1). Jene Stellungnahme war zudem gesetzlich vorgesehen und beruhte nicht auf informellem Verwaltungshandeln (a.a.O. E. 3.5.2). Der vorliegende Entscheid unterscheidet sich auch vom Urteil 1C_278/2010 vom 31. Januar 2011. Das Bundesgericht verneinte dort eine unzulässige Vorbefassung der Gemeindevertreter, die für die Gemeinde zunächst ein Baugesuch gestellt und anschliessend selbst darüber entschieden hatten (a.a.O., E. 2.2; vgl. ebenso Urteil 1C_198/2010 vom 11. November 2010 E. 2). Eigentümerin des Grundstücks bzw. Bauherrin des geplanten Vorhabens war in jenen Fällen die öffentliche Hand und nicht, wie hier, eine private Person. Soweit sich die Vorinstanz auf diese Praxis stützt, bezieht sie sich somit auf eine Sachlage, die mit der vorliegenden nicht vergleichbar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